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1F91B40" w14:textId="586DBBC5" w:rsidR="00E70E57" w:rsidRDefault="00187841" w:rsidP="001F5448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872521">
        <w:t xml:space="preserve">Sklypo J. Kairiūkščio g. </w:t>
      </w:r>
      <w:r w:rsidR="000154AA">
        <w:t>3</w:t>
      </w:r>
      <w:r w:rsidR="004D0E8C" w:rsidRPr="004D0E8C">
        <w:t xml:space="preserve"> detaliojo plano sprendini</w:t>
      </w:r>
      <w:r w:rsidR="004D0E8C">
        <w:t>ų koregavimas</w:t>
      </w:r>
      <w:r w:rsidR="004D0E8C" w:rsidRPr="004D0E8C">
        <w:t xml:space="preserve"> sklype (kadastro Nr. 0101/</w:t>
      </w:r>
      <w:r w:rsidR="000154AA">
        <w:t>0004:1020</w:t>
      </w:r>
      <w:r w:rsidR="004D0E8C" w:rsidRPr="004D0E8C">
        <w:t>)</w:t>
      </w:r>
      <w:r w:rsidR="004D0E8C">
        <w:t>.</w:t>
      </w:r>
    </w:p>
    <w:p w14:paraId="21776B55" w14:textId="41ADA6D6" w:rsidR="00E70E57" w:rsidRDefault="00187841" w:rsidP="001F5448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0154AA">
        <w:rPr>
          <w:bCs/>
        </w:rPr>
        <w:t>J. Kairiūkščio g. 3</w:t>
      </w:r>
      <w:r w:rsidR="00E70E57" w:rsidRPr="00E70E57">
        <w:rPr>
          <w:bCs/>
        </w:rPr>
        <w:t xml:space="preserve"> (kadastro Nr. </w:t>
      </w:r>
      <w:r w:rsidR="009A56F2" w:rsidRPr="009A56F2">
        <w:rPr>
          <w:bCs/>
        </w:rPr>
        <w:t>0101/</w:t>
      </w:r>
      <w:r w:rsidR="000154AA">
        <w:rPr>
          <w:bCs/>
        </w:rPr>
        <w:t>0004:1020</w:t>
      </w:r>
      <w:r w:rsidR="00E70E57" w:rsidRPr="00E70E57">
        <w:rPr>
          <w:bCs/>
        </w:rPr>
        <w:t>).</w:t>
      </w:r>
    </w:p>
    <w:p w14:paraId="452A08E5" w14:textId="415D0653" w:rsidR="00187841" w:rsidRPr="007B1EBE" w:rsidRDefault="00187841" w:rsidP="001F5448">
      <w:pPr>
        <w:spacing w:after="120"/>
        <w:jc w:val="both"/>
        <w:rPr>
          <w:bCs/>
        </w:rPr>
      </w:pPr>
      <w:r w:rsidRPr="007B1EBE">
        <w:rPr>
          <w:b/>
        </w:rPr>
        <w:t xml:space="preserve">3. Planuojamos teritorijos plotas: </w:t>
      </w:r>
      <w:r w:rsidR="007452DF" w:rsidRPr="007452DF">
        <w:rPr>
          <w:bCs/>
        </w:rPr>
        <w:t>0</w:t>
      </w:r>
      <w:r w:rsidR="007452DF">
        <w:rPr>
          <w:bCs/>
        </w:rPr>
        <w:t>,</w:t>
      </w:r>
      <w:r w:rsidR="007452DF" w:rsidRPr="007452DF">
        <w:rPr>
          <w:bCs/>
        </w:rPr>
        <w:t>2852</w:t>
      </w:r>
      <w:r w:rsidR="00530833">
        <w:rPr>
          <w:bCs/>
        </w:rPr>
        <w:t xml:space="preserve"> </w:t>
      </w:r>
      <w:r w:rsidR="00ED584F" w:rsidRPr="007B1EBE">
        <w:rPr>
          <w:bCs/>
        </w:rPr>
        <w:t>ha.</w:t>
      </w:r>
    </w:p>
    <w:p w14:paraId="44FEDC80" w14:textId="4BFB9F2E" w:rsidR="00CC12A2" w:rsidRDefault="000E2EC3" w:rsidP="001F5448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912E03">
        <w:rPr>
          <w:bCs/>
        </w:rPr>
        <w:t>t</w:t>
      </w:r>
      <w:r w:rsidR="00CC12A2" w:rsidRPr="00CC12A2">
        <w:rPr>
          <w:bCs/>
        </w:rPr>
        <w:t>eritorija apribota Molėtų pl., Jono Kairiūkščio g., Biochemikų g. ir pravažiavimo keliu</w:t>
      </w:r>
      <w:r w:rsidR="00185123">
        <w:rPr>
          <w:bCs/>
        </w:rPr>
        <w:t>.</w:t>
      </w:r>
    </w:p>
    <w:p w14:paraId="4872777A" w14:textId="78969C80" w:rsidR="00187841" w:rsidRDefault="000E2EC3" w:rsidP="001F5448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1652CDF4" w:rsidR="00EE4783" w:rsidRPr="006B2BD7" w:rsidRDefault="0017310E" w:rsidP="001F5448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8B1BA7">
        <w:t>juridiniai asmenys.</w:t>
      </w:r>
    </w:p>
    <w:p w14:paraId="4070C7D8" w14:textId="6705AF4E" w:rsidR="00187841" w:rsidRDefault="000C090F" w:rsidP="001F5448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009E5DF6" w:rsidR="00187841" w:rsidRPr="00D46FE1" w:rsidRDefault="000C090F" w:rsidP="001F5448">
      <w:pPr>
        <w:spacing w:after="120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8B1BA7">
        <w:rPr>
          <w:bCs/>
        </w:rPr>
        <w:t>juridinio asmens</w:t>
      </w:r>
      <w:r w:rsidR="003E5F9F">
        <w:rPr>
          <w:bCs/>
        </w:rPr>
        <w:t xml:space="preserve"> 2022-</w:t>
      </w:r>
      <w:r w:rsidR="008B1BA7">
        <w:rPr>
          <w:bCs/>
        </w:rPr>
        <w:t>10-06</w:t>
      </w:r>
      <w:r w:rsidR="003E5F9F">
        <w:rPr>
          <w:bCs/>
        </w:rPr>
        <w:t xml:space="preserve"> prašymas.</w:t>
      </w:r>
    </w:p>
    <w:p w14:paraId="644DD69A" w14:textId="323D39D7" w:rsidR="0032180F" w:rsidRPr="00611155" w:rsidRDefault="000C090F" w:rsidP="001F5448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75529C" w:rsidRPr="0075529C">
        <w:rPr>
          <w:bCs/>
        </w:rPr>
        <w:t xml:space="preserve">nekeičiant žemės sklypo (kadastro </w:t>
      </w:r>
      <w:r w:rsidR="0075529C">
        <w:rPr>
          <w:bCs/>
        </w:rPr>
        <w:br/>
      </w:r>
      <w:r w:rsidR="0075529C" w:rsidRPr="0075529C">
        <w:rPr>
          <w:bCs/>
        </w:rPr>
        <w:t>Nr. 0101/0004:1020) naudojimo paskirties pakeisti žemės naudojimo būdą į daugiabučių gyvenamųjų pastatų ir bendrabučių teritorijos, koreguoti statybos zoną ir ribas, nustatyti sklypui  pagrindinius ir papildomus reglamentus vadovaujantis Vilniaus miesto savivaldybės teritorijos bendrojo plano sprendiniais (pagal pridedamą miesto plano ištrauką).</w:t>
      </w:r>
    </w:p>
    <w:p w14:paraId="66CC8AE9" w14:textId="77777777" w:rsidR="00044AAD" w:rsidRPr="00611155" w:rsidRDefault="00044AAD" w:rsidP="001F5448">
      <w:pPr>
        <w:pStyle w:val="Pagrindiniotekstotrauka"/>
        <w:ind w:firstLine="0"/>
      </w:pPr>
    </w:p>
    <w:p w14:paraId="2996DB4A" w14:textId="7FDF6547" w:rsidR="0032180F" w:rsidRPr="0032180F" w:rsidRDefault="0032180F" w:rsidP="001F5448">
      <w:pPr>
        <w:pStyle w:val="Pagrindiniotekstotrauka"/>
        <w:ind w:firstLine="0"/>
        <w:rPr>
          <w:b/>
          <w:bCs/>
        </w:rPr>
      </w:pPr>
      <w:r w:rsidRPr="00611155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atvejus): </w:t>
      </w:r>
      <w:r w:rsidR="008F41E1">
        <w:t xml:space="preserve">sklypo Nr. 1 </w:t>
      </w:r>
      <w:r w:rsidR="00F30DB5">
        <w:t>žemės naudojimo būdas iš G1 keičiamas į G2</w:t>
      </w:r>
      <w:r w:rsidR="00D20C23">
        <w:t xml:space="preserve">. Galiojantys sprendiniai nustato </w:t>
      </w:r>
      <w:r w:rsidR="00701FA5">
        <w:t>statinių aukšt</w:t>
      </w:r>
      <w:r w:rsidR="00D20C23">
        <w:t>į</w:t>
      </w:r>
      <w:r w:rsidR="00701FA5">
        <w:t xml:space="preserve"> – </w:t>
      </w:r>
      <w:r w:rsidR="002068FF">
        <w:t>2</w:t>
      </w:r>
      <w:r w:rsidR="00701FA5">
        <w:t xml:space="preserve"> aukštai </w:t>
      </w:r>
      <w:r w:rsidR="002068FF">
        <w:t>+</w:t>
      </w:r>
      <w:r w:rsidR="00701FA5">
        <w:t xml:space="preserve"> mansarda, </w:t>
      </w:r>
      <w:r w:rsidR="002F7A36">
        <w:t>užstatymo tank</w:t>
      </w:r>
      <w:r w:rsidR="00D20C23">
        <w:t>į</w:t>
      </w:r>
      <w:r w:rsidR="00701FA5">
        <w:t xml:space="preserve"> </w:t>
      </w:r>
      <w:r w:rsidR="004710AC">
        <w:t>–</w:t>
      </w:r>
      <w:r w:rsidR="00701FA5">
        <w:t>18</w:t>
      </w:r>
      <w:r w:rsidR="00B83DBC">
        <w:t xml:space="preserve"> proc.</w:t>
      </w:r>
      <w:r w:rsidR="00701FA5">
        <w:t xml:space="preserve">, </w:t>
      </w:r>
      <w:r w:rsidR="002F7A36">
        <w:t>užstatymo intensyvum</w:t>
      </w:r>
      <w:r w:rsidR="00D20C23">
        <w:t>ą</w:t>
      </w:r>
      <w:r w:rsidR="002F7A36">
        <w:t xml:space="preserve"> </w:t>
      </w:r>
      <w:r w:rsidR="004710AC">
        <w:t xml:space="preserve">– </w:t>
      </w:r>
      <w:r w:rsidR="00701FA5">
        <w:t>0,4</w:t>
      </w:r>
      <w:r w:rsidR="002563A9">
        <w:t xml:space="preserve">, </w:t>
      </w:r>
      <w:r w:rsidR="002A0261">
        <w:t>statinio aukštį iki karnizo – 6 m</w:t>
      </w:r>
      <w:r w:rsidR="004710AC">
        <w:t>, statinio aukščio altitudę – 181,5 m, statinio aukštį nuo žemės paviršiaus – 9,5 m.</w:t>
      </w:r>
    </w:p>
    <w:p w14:paraId="282F8FA5" w14:textId="77777777" w:rsidR="00603C6D" w:rsidRPr="006B2BD7" w:rsidRDefault="00603C6D" w:rsidP="001F5448">
      <w:pPr>
        <w:pStyle w:val="Pagrindiniotekstotrauka"/>
        <w:ind w:firstLine="0"/>
      </w:pPr>
    </w:p>
    <w:p w14:paraId="297B5543" w14:textId="5C2AE86B" w:rsidR="001D4A9C" w:rsidRDefault="00654272" w:rsidP="001F5448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1D4A9C" w:rsidRPr="001D4A9C">
        <w:rPr>
          <w:bCs/>
          <w:color w:val="auto"/>
        </w:rPr>
        <w:t>vertinti nagrinėjamos teritorijos (numatomų sprendinių įtaką patiriančios) kraštovaizdį, esamas ir (ar) suplanuotas urbanistines struktūras, inžinerinę ir socialinę infrastruktūrą</w:t>
      </w:r>
      <w:r w:rsidR="00831DDC">
        <w:rPr>
          <w:bCs/>
          <w:color w:val="auto"/>
        </w:rPr>
        <w:t xml:space="preserve">, </w:t>
      </w:r>
      <w:r w:rsidR="00831DDC" w:rsidRPr="00831DDC">
        <w:rPr>
          <w:bCs/>
          <w:color w:val="auto"/>
        </w:rPr>
        <w:t>numatyti funkcinius bei kompozicinius ryšius su gretimomis teritorijomis, susisiekimo komunikacijas ir joms funkcionuoti reikalingų servitutų poreikį</w:t>
      </w:r>
      <w:r w:rsidR="00831DDC">
        <w:rPr>
          <w:bCs/>
          <w:color w:val="auto"/>
        </w:rPr>
        <w:t>.</w:t>
      </w:r>
    </w:p>
    <w:p w14:paraId="446F95F3" w14:textId="40754F64" w:rsidR="00187841" w:rsidRPr="00FE6D0C" w:rsidRDefault="00654272" w:rsidP="001F5448">
      <w:pPr>
        <w:pStyle w:val="Default"/>
        <w:spacing w:after="120"/>
        <w:jc w:val="both"/>
        <w:rPr>
          <w:bCs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71471A" w:rsidRPr="00FE6D0C">
        <w:rPr>
          <w:bCs/>
          <w:color w:val="auto"/>
        </w:rPr>
        <w:t xml:space="preserve">teritorijos tūrinės ir erdvinės kompozicijos reikalavimai, </w:t>
      </w:r>
      <w:r w:rsidR="00FE6D0C" w:rsidRPr="00FE6D0C">
        <w:rPr>
          <w:bCs/>
          <w:color w:val="auto"/>
        </w:rPr>
        <w:t>susisiekimo komunikacijų išdėstymas</w:t>
      </w:r>
      <w:r w:rsidR="00FE6D0C">
        <w:rPr>
          <w:bCs/>
          <w:color w:val="auto"/>
        </w:rPr>
        <w:t>,</w:t>
      </w:r>
      <w:r w:rsidR="00FE6D0C" w:rsidRPr="00FE6D0C">
        <w:rPr>
          <w:bCs/>
          <w:color w:val="auto"/>
        </w:rPr>
        <w:t xml:space="preserve"> automobilių stovėjimo aikštelių išdėstymas, norminių želdynų išdėstymas.</w:t>
      </w:r>
    </w:p>
    <w:p w14:paraId="07D8675E" w14:textId="14A2028E" w:rsidR="00187841" w:rsidRPr="006B2BD7" w:rsidRDefault="00187841" w:rsidP="001F5448">
      <w:pPr>
        <w:spacing w:after="120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  <w:r w:rsidR="009072FD" w:rsidRPr="004D0BA9">
        <w:t>teritorijos analizė triukšmo ir oro taršos aspektais.</w:t>
      </w:r>
    </w:p>
    <w:p w14:paraId="14023DB2" w14:textId="7359D225" w:rsidR="00187841" w:rsidRPr="006B2BD7" w:rsidRDefault="00187841" w:rsidP="001F5448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1F5448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1F5448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1F5448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1F5448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1F5448">
      <w:pPr>
        <w:spacing w:after="120"/>
        <w:jc w:val="both"/>
        <w:rPr>
          <w:bCs/>
        </w:rPr>
      </w:pPr>
      <w:r>
        <w:rPr>
          <w:b/>
          <w:bCs/>
        </w:rPr>
        <w:lastRenderedPageBreak/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1F5448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1F5448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10EB" w14:textId="77777777" w:rsidR="00D66A6B" w:rsidRDefault="00D66A6B" w:rsidP="00D66A6B">
      <w:r>
        <w:separator/>
      </w:r>
    </w:p>
  </w:endnote>
  <w:endnote w:type="continuationSeparator" w:id="0">
    <w:p w14:paraId="3F369A81" w14:textId="77777777" w:rsidR="00D66A6B" w:rsidRDefault="00D66A6B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B314" w14:textId="77777777" w:rsidR="00D66A6B" w:rsidRDefault="00D66A6B" w:rsidP="00D66A6B">
      <w:r>
        <w:separator/>
      </w:r>
    </w:p>
  </w:footnote>
  <w:footnote w:type="continuationSeparator" w:id="0">
    <w:p w14:paraId="03ECD46D" w14:textId="77777777" w:rsidR="00D66A6B" w:rsidRDefault="00D66A6B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4AA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B24D6"/>
    <w:rsid w:val="000B636D"/>
    <w:rsid w:val="000C090F"/>
    <w:rsid w:val="000C5464"/>
    <w:rsid w:val="000D2492"/>
    <w:rsid w:val="000D6AB9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809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402F"/>
    <w:rsid w:val="00236006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2936"/>
    <w:rsid w:val="00635D5F"/>
    <w:rsid w:val="00637A33"/>
    <w:rsid w:val="00642305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4EE"/>
    <w:rsid w:val="0072572F"/>
    <w:rsid w:val="00725F8B"/>
    <w:rsid w:val="00730E66"/>
    <w:rsid w:val="00733E08"/>
    <w:rsid w:val="00735201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D7B"/>
    <w:rsid w:val="00791E1B"/>
    <w:rsid w:val="007926CA"/>
    <w:rsid w:val="00792CDE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5E4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DB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160B8"/>
    <w:rsid w:val="00C26433"/>
    <w:rsid w:val="00C32370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1717C"/>
    <w:rsid w:val="00D20C23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66A6B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0DB5"/>
    <w:rsid w:val="00F319FA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3242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2022-10-18T12:02:00Z</dcterms:created>
  <dcterms:modified xsi:type="dcterms:W3CDTF">2022-10-18T12:02:00Z</dcterms:modified>
</cp:coreProperties>
</file>