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1CAC05EF" w:rsidR="00A10394" w:rsidRDefault="00A10394" w:rsidP="00A10394">
            <w:r>
              <w:t>20</w:t>
            </w:r>
            <w:r w:rsidR="002B3D70">
              <w:t>2</w:t>
            </w:r>
            <w:r w:rsidR="00A45195">
              <w:t>3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008C6A05" w14:textId="696161C4" w:rsidR="00C068CC" w:rsidRPr="00EF08D5" w:rsidRDefault="008C5E90" w:rsidP="00C068CC">
      <w:pPr>
        <w:tabs>
          <w:tab w:val="left" w:pos="1134"/>
        </w:tabs>
        <w:suppressAutoHyphens/>
        <w:jc w:val="both"/>
        <w:rPr>
          <w:rStyle w:val="normaltextrun"/>
        </w:rPr>
      </w:pPr>
      <w:r w:rsidRPr="00CC00C2">
        <w:rPr>
          <w:b/>
        </w:rPr>
        <w:t>1. Tikslus planavimo dokumento pavadinimas:</w:t>
      </w:r>
      <w:r w:rsidRPr="00CC00C2">
        <w:t xml:space="preserve"> </w:t>
      </w:r>
      <w:r w:rsidR="00E2772B">
        <w:t>A</w:t>
      </w:r>
      <w:r w:rsidR="00E2772B" w:rsidRPr="00CB5F38">
        <w:t xml:space="preserve">pie 1 ha teritorijos šalia Verkių g. 51 ir Verkių g. 72A detaliojo plano (TPDR </w:t>
      </w:r>
      <w:proofErr w:type="spellStart"/>
      <w:r w:rsidR="00E2772B" w:rsidRPr="00CB5F38">
        <w:t>reg</w:t>
      </w:r>
      <w:proofErr w:type="spellEnd"/>
      <w:r w:rsidR="00E2772B" w:rsidRPr="00CB5F38">
        <w:t>. Nr. T00075820) spren</w:t>
      </w:r>
      <w:r w:rsidR="00E2772B">
        <w:t>dinių koregavimas</w:t>
      </w:r>
      <w:r w:rsidR="00E2772B" w:rsidRPr="00CB5F38">
        <w:t xml:space="preserve"> sklypuose Nr. 1 ir Nr. 2 inicijavimo pagrindu</w:t>
      </w:r>
    </w:p>
    <w:p w14:paraId="38234076" w14:textId="4FE7AF92" w:rsidR="00635EBF" w:rsidRPr="00635EBF" w:rsidRDefault="008C5E90" w:rsidP="00C068CC">
      <w:pPr>
        <w:pStyle w:val="paragraph"/>
        <w:spacing w:before="0" w:beforeAutospacing="0" w:after="0" w:afterAutospacing="0"/>
        <w:jc w:val="both"/>
        <w:textAlignment w:val="baseline"/>
      </w:pPr>
      <w:r w:rsidRPr="00635EBF">
        <w:rPr>
          <w:b/>
        </w:rPr>
        <w:t>2. Planuojamos teritorijos (sklypų) adresas:</w:t>
      </w:r>
      <w:r w:rsidR="00635EBF" w:rsidRPr="00635EBF">
        <w:rPr>
          <w:b/>
        </w:rPr>
        <w:t xml:space="preserve"> </w:t>
      </w:r>
      <w:r w:rsidR="0027703E" w:rsidRPr="00CB5F38">
        <w:t>sklyp</w:t>
      </w:r>
      <w:r w:rsidR="0027703E">
        <w:t>ai</w:t>
      </w:r>
      <w:r w:rsidR="0027703E" w:rsidRPr="00CB5F38">
        <w:t xml:space="preserve"> Verkių g. 51 (kadastro Nr. </w:t>
      </w:r>
      <w:r w:rsidR="0027703E" w:rsidRPr="00291159">
        <w:t>0101/0018:31</w:t>
      </w:r>
      <w:r w:rsidR="0027703E" w:rsidRPr="00CB5F38">
        <w:t>)</w:t>
      </w:r>
      <w:r w:rsidR="0027703E">
        <w:t>,</w:t>
      </w:r>
      <w:r w:rsidR="0027703E" w:rsidRPr="00CB5F38">
        <w:t xml:space="preserve"> Verkių g. 72A (kadastro Nr.</w:t>
      </w:r>
      <w:r w:rsidR="0027703E" w:rsidRPr="00291159">
        <w:t xml:space="preserve"> 0101/0018:56</w:t>
      </w:r>
      <w:r w:rsidR="0027703E" w:rsidRPr="00CB5F38">
        <w:t>)</w:t>
      </w:r>
      <w:r w:rsidR="0027703E">
        <w:t xml:space="preserve"> ir laisvos nesuformuotos valstybinės žemės teritorija.</w:t>
      </w:r>
    </w:p>
    <w:p w14:paraId="4C3E54B8" w14:textId="6A164AEA" w:rsidR="008C5E90" w:rsidRPr="00596FE3" w:rsidRDefault="008C5E90" w:rsidP="00635EBF">
      <w:pPr>
        <w:jc w:val="both"/>
        <w:rPr>
          <w:bCs/>
        </w:rPr>
      </w:pPr>
      <w:r w:rsidRPr="00C77AA4">
        <w:rPr>
          <w:rStyle w:val="normaltextrun"/>
          <w:b/>
          <w:bCs/>
          <w:bdr w:val="none" w:sz="0" w:space="0" w:color="auto" w:frame="1"/>
        </w:rPr>
        <w:t xml:space="preserve">3. Planuojamos teritorijos </w:t>
      </w:r>
      <w:r w:rsidRPr="00635EBF">
        <w:rPr>
          <w:rStyle w:val="normaltextrun"/>
          <w:b/>
          <w:bCs/>
          <w:color w:val="000000"/>
          <w:bdr w:val="none" w:sz="0" w:space="0" w:color="auto" w:frame="1"/>
        </w:rPr>
        <w:t xml:space="preserve">plotas: </w:t>
      </w:r>
      <w:r w:rsidR="00C77AA4" w:rsidRPr="001A7D9F">
        <w:rPr>
          <w:bCs/>
        </w:rPr>
        <w:t>0</w:t>
      </w:r>
      <w:r w:rsidR="00C07458" w:rsidRPr="001A7D9F">
        <w:rPr>
          <w:bCs/>
        </w:rPr>
        <w:t>,</w:t>
      </w:r>
      <w:r w:rsidR="0076224A">
        <w:rPr>
          <w:bCs/>
        </w:rPr>
        <w:t>6</w:t>
      </w:r>
      <w:r w:rsidR="001A7D9F" w:rsidRPr="001A7D9F">
        <w:rPr>
          <w:bCs/>
        </w:rPr>
        <w:t>3</w:t>
      </w:r>
      <w:r w:rsidRPr="001A7D9F">
        <w:rPr>
          <w:bCs/>
        </w:rPr>
        <w:t xml:space="preserve"> ha.</w:t>
      </w:r>
    </w:p>
    <w:p w14:paraId="0E44EAD8" w14:textId="777720EB" w:rsidR="008C5E90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3036CF7C" w14:textId="31CE0218" w:rsidR="00BE7E81" w:rsidRPr="00BE7E81" w:rsidRDefault="00BE7E81" w:rsidP="00374C59">
      <w:pPr>
        <w:jc w:val="both"/>
        <w:rPr>
          <w:b/>
          <w:bCs/>
        </w:rPr>
      </w:pPr>
      <w:r w:rsidRPr="00BE7E81">
        <w:rPr>
          <w:b/>
          <w:bCs/>
        </w:rPr>
        <w:t>5. Planavimo inicijatorius:</w:t>
      </w:r>
      <w:r>
        <w:rPr>
          <w:b/>
          <w:bCs/>
        </w:rPr>
        <w:t xml:space="preserve"> </w:t>
      </w:r>
      <w:r w:rsidR="00E03C51" w:rsidRPr="0027703E">
        <w:t>juridin</w:t>
      </w:r>
      <w:r w:rsidR="0027703E" w:rsidRPr="0027703E">
        <w:t>is</w:t>
      </w:r>
      <w:r w:rsidRPr="0027703E">
        <w:t xml:space="preserve"> asm</w:t>
      </w:r>
      <w:r w:rsidR="0027703E">
        <w:t>uo.</w:t>
      </w:r>
    </w:p>
    <w:p w14:paraId="55EB5CF9" w14:textId="79882818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r w:rsidR="00BE7E81">
        <w:t>inicijatorius</w:t>
      </w:r>
      <w:r w:rsidRPr="00CC00C2">
        <w:t>.</w:t>
      </w:r>
    </w:p>
    <w:p w14:paraId="6661CC9C" w14:textId="5EDB8A19" w:rsidR="00F96BC2" w:rsidRDefault="008C5E90" w:rsidP="00596FE3">
      <w:pPr>
        <w:jc w:val="both"/>
        <w:rPr>
          <w:lang w:eastAsia="lt-LT"/>
        </w:rPr>
      </w:pPr>
      <w:r w:rsidRPr="00CC00C2">
        <w:rPr>
          <w:b/>
          <w:bCs/>
        </w:rPr>
        <w:t xml:space="preserve">7. Planavimo </w:t>
      </w:r>
      <w:r w:rsidRPr="00635EBF">
        <w:rPr>
          <w:b/>
          <w:bCs/>
        </w:rPr>
        <w:t xml:space="preserve">pagrindas: </w:t>
      </w:r>
      <w:r w:rsidR="00635EBF" w:rsidRPr="00635EBF">
        <w:rPr>
          <w:lang w:eastAsia="lt-LT"/>
        </w:rPr>
        <w:t>inicijatoriaus prašymas.</w:t>
      </w:r>
    </w:p>
    <w:p w14:paraId="505258E9" w14:textId="614E6C3B" w:rsidR="0027703E" w:rsidRDefault="008C5E90" w:rsidP="0027703E">
      <w:pPr>
        <w:jc w:val="both"/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r w:rsidR="0027703E" w:rsidRPr="00020A51">
        <w:t>planuojama teritorija neatitinka kvartalo apibrėžimo, todėl yra nustatoma nagrinėjama teritorija, ribojama Verkių ir Neri</w:t>
      </w:r>
      <w:r w:rsidR="000B09B1">
        <w:t>e</w:t>
      </w:r>
      <w:r w:rsidR="0027703E" w:rsidRPr="00020A51">
        <w:t>s gatvių pietvakariuose, Cedrono (Baltupio upelio) šiaurės vakaruose ir Neries upės (gamtinių elemento) šiaurės rytuose.</w:t>
      </w:r>
      <w:r w:rsidR="0027703E" w:rsidRPr="00CB5F38">
        <w:t xml:space="preserve"> </w:t>
      </w:r>
    </w:p>
    <w:p w14:paraId="567B6C26" w14:textId="77777777" w:rsidR="00463B9C" w:rsidRDefault="008C5E90" w:rsidP="0027703E">
      <w:pPr>
        <w:jc w:val="both"/>
      </w:pPr>
      <w:r w:rsidRPr="00C77AA4">
        <w:rPr>
          <w:b/>
          <w:bCs/>
        </w:rPr>
        <w:t xml:space="preserve">9. Planavimo tikslai ir detaliojo plano uždaviniai: </w:t>
      </w:r>
      <w:bookmarkStart w:id="0" w:name="_Hlk148339874"/>
      <w:r w:rsidR="00463B9C">
        <w:t xml:space="preserve">suplanuoti susisiekimo komunikacijas ir inžinerinę infrastruktūrą, </w:t>
      </w:r>
      <w:r w:rsidR="00463B9C" w:rsidRPr="00481BC7">
        <w:t xml:space="preserve">nekeičiant įregistruotų žemės sklypų </w:t>
      </w:r>
      <w:bookmarkStart w:id="1" w:name="_Hlk148340191"/>
      <w:r w:rsidR="00463B9C" w:rsidRPr="00481BC7">
        <w:t>Verkių g. 51 (kadastro Nr.</w:t>
      </w:r>
      <w:r w:rsidR="00463B9C">
        <w:t xml:space="preserve"> </w:t>
      </w:r>
      <w:r w:rsidR="00463B9C" w:rsidRPr="00291159">
        <w:t>0101/0018:31</w:t>
      </w:r>
      <w:r w:rsidR="00463B9C" w:rsidRPr="00481BC7">
        <w:t>) ir Verkių g. 72A</w:t>
      </w:r>
      <w:r w:rsidR="00463B9C">
        <w:t xml:space="preserve"> (</w:t>
      </w:r>
      <w:r w:rsidR="00463B9C" w:rsidRPr="00481BC7">
        <w:t>kadastro Nr.</w:t>
      </w:r>
      <w:r w:rsidR="00463B9C" w:rsidRPr="00291159">
        <w:t xml:space="preserve"> 0101/0018:56</w:t>
      </w:r>
      <w:r w:rsidR="00463B9C" w:rsidRPr="00481BC7">
        <w:t xml:space="preserve">) </w:t>
      </w:r>
      <w:bookmarkEnd w:id="1"/>
      <w:r w:rsidR="00463B9C" w:rsidRPr="00481BC7">
        <w:t xml:space="preserve"> ribų ir plotų nustatyti </w:t>
      </w:r>
      <w:r w:rsidR="00463B9C">
        <w:t xml:space="preserve">sklypui </w:t>
      </w:r>
      <w:r w:rsidR="00463B9C" w:rsidRPr="00481BC7">
        <w:t>Verkių g. 51 (kadastro Nr.</w:t>
      </w:r>
      <w:r w:rsidR="00463B9C">
        <w:t xml:space="preserve"> </w:t>
      </w:r>
      <w:r w:rsidR="00463B9C" w:rsidRPr="00B275DD">
        <w:t>0101/0018:31</w:t>
      </w:r>
      <w:r w:rsidR="00463B9C" w:rsidRPr="00481BC7">
        <w:t>) rekreacinį žemės naudojimo būdą ir reglamentus pagal faktinius įregistruotų pastatų duomenis.</w:t>
      </w:r>
      <w:bookmarkEnd w:id="0"/>
    </w:p>
    <w:p w14:paraId="5F675B53" w14:textId="0D88DC63" w:rsidR="008C5E90" w:rsidRPr="00CC00C2" w:rsidRDefault="008C5E90" w:rsidP="0027703E">
      <w:pPr>
        <w:jc w:val="both"/>
      </w:pPr>
      <w:r>
        <w:rPr>
          <w:b/>
          <w:bCs/>
        </w:rPr>
        <w:t>10</w:t>
      </w:r>
      <w:r w:rsidRPr="00CC00C2">
        <w:rPr>
          <w:b/>
          <w:bCs/>
        </w:rPr>
        <w:t>. Papildomi planavimo uždaviniai</w:t>
      </w:r>
      <w:r w:rsidRPr="00635EBF">
        <w:rPr>
          <w:b/>
          <w:bCs/>
        </w:rPr>
        <w:t xml:space="preserve">: </w:t>
      </w:r>
      <w:r w:rsidRPr="00E2772B">
        <w:t>numatyti funkcinius bei kompozicinius ryšius su gretimomis teritorijomis, suformuoti optimalią urbanistinę struktūrą</w:t>
      </w:r>
      <w:r w:rsidR="008A5DB2" w:rsidRPr="00E2772B">
        <w:t>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suformuoti optimalią urbanistinę struktūrą, numatyti pėsčiųjų ryšius.</w:t>
      </w:r>
    </w:p>
    <w:p w14:paraId="1B275A6B" w14:textId="77777777" w:rsidR="008C5E90" w:rsidRPr="00635EBF" w:rsidRDefault="008C5E90" w:rsidP="00374C59">
      <w:pPr>
        <w:jc w:val="both"/>
      </w:pPr>
      <w:r>
        <w:rPr>
          <w:b/>
          <w:bCs/>
        </w:rPr>
        <w:t>11</w:t>
      </w:r>
      <w:r w:rsidRPr="00CC00C2">
        <w:rPr>
          <w:b/>
          <w:bCs/>
        </w:rPr>
        <w:t xml:space="preserve">. Papildomi reglamentai: </w:t>
      </w:r>
      <w:r w:rsidRPr="00635EBF">
        <w:t>teritorijos tūrinės ir erdvinės kompozicijos reikalavimai, automobilių</w:t>
      </w:r>
    </w:p>
    <w:p w14:paraId="4FC4777D" w14:textId="05028975" w:rsidR="008C5E90" w:rsidRPr="00596FE3" w:rsidRDefault="008C5E90" w:rsidP="00374C59">
      <w:pPr>
        <w:jc w:val="both"/>
      </w:pPr>
      <w:r w:rsidRPr="00635EBF">
        <w:t>stovėjimo būdas, susisiekimo komunikacijų išdėstymas ir servitutų poreikis</w:t>
      </w:r>
      <w:r w:rsidR="00635EBF">
        <w:t xml:space="preserve">, </w:t>
      </w:r>
      <w:r w:rsidR="00635EBF" w:rsidRPr="00635EBF">
        <w:t>Sąlyginis didžiausias nelaidžių dangų kiekis sklype</w:t>
      </w:r>
      <w:r w:rsidR="00635EBF">
        <w:t>.</w:t>
      </w:r>
    </w:p>
    <w:p w14:paraId="3F28CE3A" w14:textId="4FF9D3F7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studijos:</w:t>
      </w:r>
      <w:r w:rsidRPr="00CC00C2">
        <w:t xml:space="preserve"> </w:t>
      </w:r>
      <w:r w:rsidR="00BA7277" w:rsidRPr="000E37D1">
        <w:t>atlikti topografiją, medžių taksaciją</w:t>
      </w:r>
      <w:r w:rsidR="000E37D1">
        <w:t xml:space="preserve">, </w:t>
      </w:r>
      <w:r w:rsidR="000E37D1" w:rsidRPr="000E37D1">
        <w:t>įvertinti eko-geologinių tyrimų poreikį, parengti sprendinių pasekmių vertinimą urbanistinės raidos, infrastruktūros, susisiekimo, kraštovaizdžio, aplinkosauginiais aspektais.</w:t>
      </w:r>
    </w:p>
    <w:p w14:paraId="1B7C5C6B" w14:textId="36FA5487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BE7E81">
        <w:t>nereikalingas.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4357F31A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BE7E81" w:rsidRPr="00CC00C2">
        <w:rPr>
          <w:bCs/>
        </w:rPr>
        <w:t>nereikalingas.</w:t>
      </w:r>
    </w:p>
    <w:p w14:paraId="77CAB1C7" w14:textId="2015FDF8" w:rsidR="008C5E90" w:rsidRPr="00BA7277" w:rsidRDefault="008C5E90" w:rsidP="00374C59">
      <w:pPr>
        <w:jc w:val="both"/>
        <w:rPr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 xml:space="preserve">detaliojo plano koregavimo viešumo procedūros atliekamos teisės aktuose nustatyta tvarka. 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8789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09B1"/>
    <w:rsid w:val="000B24D6"/>
    <w:rsid w:val="000B747D"/>
    <w:rsid w:val="000C57B3"/>
    <w:rsid w:val="000D2492"/>
    <w:rsid w:val="000D2F83"/>
    <w:rsid w:val="000E0AA6"/>
    <w:rsid w:val="000E1CD5"/>
    <w:rsid w:val="000E37D1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A7D9F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7703E"/>
    <w:rsid w:val="002810AE"/>
    <w:rsid w:val="0028138C"/>
    <w:rsid w:val="002839D4"/>
    <w:rsid w:val="002861D9"/>
    <w:rsid w:val="00290892"/>
    <w:rsid w:val="00293B33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63B9C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5EB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224A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A2768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0C4B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0FB7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568E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A7277"/>
    <w:rsid w:val="00BC1D7B"/>
    <w:rsid w:val="00BC3C10"/>
    <w:rsid w:val="00BC4B11"/>
    <w:rsid w:val="00BD459C"/>
    <w:rsid w:val="00BE37DF"/>
    <w:rsid w:val="00BE3846"/>
    <w:rsid w:val="00BE7E81"/>
    <w:rsid w:val="00BF0FAD"/>
    <w:rsid w:val="00BF1B39"/>
    <w:rsid w:val="00C068CC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77AA4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3C51"/>
    <w:rsid w:val="00E04AB7"/>
    <w:rsid w:val="00E134B9"/>
    <w:rsid w:val="00E13E8F"/>
    <w:rsid w:val="00E140AF"/>
    <w:rsid w:val="00E20281"/>
    <w:rsid w:val="00E20BCD"/>
    <w:rsid w:val="00E275D2"/>
    <w:rsid w:val="00E2772B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2020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96BC2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link w:val="DebesliotekstasDiagrama"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C77AA4"/>
    <w:pPr>
      <w:ind w:left="720"/>
      <w:contextualSpacing/>
    </w:pPr>
    <w:rPr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C068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3086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2023-11-21T14:43:00Z</dcterms:created>
  <dcterms:modified xsi:type="dcterms:W3CDTF">2023-11-21T14:43:00Z</dcterms:modified>
  <cp:category>PRIEDAS</cp:category>
</cp:coreProperties>
</file>