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085" w:rsidRPr="00784085" w:rsidRDefault="00784085" w:rsidP="00784085">
      <w:pPr>
        <w:jc w:val="center"/>
        <w:rPr>
          <w:b/>
        </w:rPr>
      </w:pPr>
      <w:r w:rsidRPr="00784085">
        <w:rPr>
          <w:b/>
        </w:rPr>
        <w:t>KVIETIMAS</w:t>
      </w:r>
    </w:p>
    <w:p w:rsidR="00784085" w:rsidRPr="00784085" w:rsidRDefault="00784085" w:rsidP="00784085">
      <w:pPr>
        <w:jc w:val="center"/>
        <w:rPr>
          <w:b/>
        </w:rPr>
      </w:pPr>
      <w:r w:rsidRPr="00784085">
        <w:rPr>
          <w:b/>
        </w:rPr>
        <w:t>TEIKTI PARAIŠKAS DAUGIABUČIAMS NAMAMS ATNAUJINTI (MODERNIZUOTI) PAGAL DAUGIABUČIŲ NAMŲ ATNAUJINIMO (MODERNIZAVIMO) PROGRAMĄ</w:t>
      </w:r>
    </w:p>
    <w:p w:rsidR="00784085" w:rsidRPr="00784085" w:rsidRDefault="00784085" w:rsidP="00784085">
      <w:pPr>
        <w:jc w:val="center"/>
      </w:pPr>
    </w:p>
    <w:p w:rsidR="001D2787" w:rsidRDefault="001D2787" w:rsidP="000F181E"/>
    <w:tbl>
      <w:tblPr>
        <w:tblStyle w:val="TableGrid"/>
        <w:tblW w:w="0" w:type="auto"/>
        <w:tblLook w:val="04A0" w:firstRow="1" w:lastRow="0" w:firstColumn="1" w:lastColumn="0" w:noHBand="0" w:noVBand="1"/>
      </w:tblPr>
      <w:tblGrid>
        <w:gridCol w:w="846"/>
        <w:gridCol w:w="2551"/>
        <w:gridCol w:w="2263"/>
        <w:gridCol w:w="838"/>
        <w:gridCol w:w="1137"/>
        <w:gridCol w:w="1993"/>
      </w:tblGrid>
      <w:tr w:rsidR="008D4592" w:rsidTr="003C11CF">
        <w:tc>
          <w:tcPr>
            <w:tcW w:w="846" w:type="dxa"/>
          </w:tcPr>
          <w:p w:rsidR="00784085" w:rsidRDefault="00784085" w:rsidP="00784085">
            <w:pPr>
              <w:jc w:val="center"/>
              <w:rPr>
                <w:b/>
              </w:rPr>
            </w:pPr>
          </w:p>
          <w:p w:rsidR="008D4592" w:rsidRDefault="008D4592" w:rsidP="00784085">
            <w:pPr>
              <w:jc w:val="center"/>
              <w:rPr>
                <w:b/>
              </w:rPr>
            </w:pPr>
            <w:r>
              <w:rPr>
                <w:b/>
              </w:rPr>
              <w:t>1.</w:t>
            </w:r>
          </w:p>
          <w:p w:rsidR="008D4592" w:rsidRPr="00A86F46" w:rsidRDefault="008D4592" w:rsidP="00D2341F">
            <w:pPr>
              <w:jc w:val="center"/>
              <w:rPr>
                <w:b/>
              </w:rPr>
            </w:pPr>
          </w:p>
        </w:tc>
        <w:tc>
          <w:tcPr>
            <w:tcW w:w="2551" w:type="dxa"/>
            <w:vAlign w:val="center"/>
          </w:tcPr>
          <w:p w:rsidR="008D4592" w:rsidRPr="00A86F46" w:rsidRDefault="008D4592" w:rsidP="00D2341F">
            <w:pPr>
              <w:jc w:val="center"/>
              <w:rPr>
                <w:b/>
              </w:rPr>
            </w:pPr>
            <w:r w:rsidRPr="00A86F46">
              <w:rPr>
                <w:b/>
              </w:rPr>
              <w:t>Paramos gavėjai</w:t>
            </w:r>
          </w:p>
        </w:tc>
        <w:tc>
          <w:tcPr>
            <w:tcW w:w="6231" w:type="dxa"/>
            <w:gridSpan w:val="4"/>
          </w:tcPr>
          <w:p w:rsidR="008D4592" w:rsidRDefault="008D4592" w:rsidP="00A86F46">
            <w:pPr>
              <w:jc w:val="both"/>
            </w:pPr>
            <w:r>
              <w:t>Daugiabučių namų, pastatytų pagal galiojusius iki 1993 metų statybos techninius normatyvus, butų ir kitų patalpų savininkai</w:t>
            </w:r>
          </w:p>
        </w:tc>
      </w:tr>
      <w:tr w:rsidR="008D4592" w:rsidTr="003C11CF">
        <w:tc>
          <w:tcPr>
            <w:tcW w:w="846" w:type="dxa"/>
          </w:tcPr>
          <w:p w:rsidR="008D4592" w:rsidRDefault="008D4592" w:rsidP="00D2341F">
            <w:pPr>
              <w:jc w:val="center"/>
              <w:rPr>
                <w:b/>
              </w:rPr>
            </w:pPr>
          </w:p>
          <w:p w:rsidR="008D4592" w:rsidRDefault="008D4592" w:rsidP="00D2341F">
            <w:pPr>
              <w:jc w:val="center"/>
              <w:rPr>
                <w:b/>
              </w:rPr>
            </w:pPr>
          </w:p>
          <w:p w:rsidR="008D4592" w:rsidRDefault="008D4592" w:rsidP="00D2341F">
            <w:pPr>
              <w:jc w:val="center"/>
              <w:rPr>
                <w:b/>
              </w:rPr>
            </w:pPr>
          </w:p>
          <w:p w:rsidR="008D4592" w:rsidRPr="00A86F46" w:rsidRDefault="008D4592" w:rsidP="00D2341F">
            <w:pPr>
              <w:jc w:val="center"/>
              <w:rPr>
                <w:b/>
              </w:rPr>
            </w:pPr>
            <w:r>
              <w:rPr>
                <w:b/>
              </w:rPr>
              <w:t>2.</w:t>
            </w:r>
          </w:p>
        </w:tc>
        <w:tc>
          <w:tcPr>
            <w:tcW w:w="2551" w:type="dxa"/>
            <w:vAlign w:val="center"/>
          </w:tcPr>
          <w:p w:rsidR="008D4592" w:rsidRPr="00A86F46" w:rsidRDefault="008D4592" w:rsidP="00D2341F">
            <w:pPr>
              <w:jc w:val="center"/>
              <w:rPr>
                <w:b/>
              </w:rPr>
            </w:pPr>
            <w:r w:rsidRPr="00A86F46">
              <w:rPr>
                <w:b/>
              </w:rPr>
              <w:t>Paraiškų teikėjai</w:t>
            </w:r>
          </w:p>
        </w:tc>
        <w:tc>
          <w:tcPr>
            <w:tcW w:w="6231" w:type="dxa"/>
            <w:gridSpan w:val="4"/>
            <w:tcBorders>
              <w:bottom w:val="single" w:sz="4" w:space="0" w:color="auto"/>
            </w:tcBorders>
          </w:tcPr>
          <w:p w:rsidR="008D4592" w:rsidRDefault="008D4592" w:rsidP="008A6005">
            <w:pPr>
              <w:jc w:val="both"/>
              <w:rPr>
                <w:lang w:eastAsia="lt-LT"/>
              </w:rPr>
            </w:pPr>
            <w:r>
              <w:rPr>
                <w:lang w:eastAsia="lt-LT"/>
              </w:rPr>
              <w:t>1. Daugiabučio namo bendrojo naudojimo objektų valdytojas.</w:t>
            </w:r>
          </w:p>
          <w:p w:rsidR="008D4592" w:rsidRDefault="008D4592" w:rsidP="00100A83">
            <w:pPr>
              <w:jc w:val="both"/>
              <w:rPr>
                <w:lang w:eastAsia="lt-LT"/>
              </w:rPr>
            </w:pPr>
            <w:r>
              <w:rPr>
                <w:lang w:eastAsia="lt-LT"/>
              </w:rPr>
              <w:t>2. A</w:t>
            </w:r>
            <w:r w:rsidRPr="008A6005">
              <w:rPr>
                <w:lang w:eastAsia="lt-LT"/>
              </w:rPr>
              <w:t>smuo, teikiantis</w:t>
            </w:r>
            <w:r>
              <w:rPr>
                <w:lang w:eastAsia="lt-LT"/>
              </w:rPr>
              <w:t xml:space="preserve"> daugiabučio namo atnaujinimo (modernizavimo) projekto (toliau –</w:t>
            </w:r>
            <w:r w:rsidRPr="008A6005">
              <w:rPr>
                <w:lang w:eastAsia="lt-LT"/>
              </w:rPr>
              <w:t xml:space="preserve"> Projekto</w:t>
            </w:r>
            <w:r>
              <w:rPr>
                <w:lang w:eastAsia="lt-LT"/>
              </w:rPr>
              <w:t>)</w:t>
            </w:r>
            <w:r w:rsidRPr="008A6005">
              <w:rPr>
                <w:lang w:eastAsia="lt-LT"/>
              </w:rPr>
              <w:t xml:space="preserve"> įgyvendinimo administravimo paslaugas</w:t>
            </w:r>
            <w:r w:rsidR="00D0594B">
              <w:rPr>
                <w:lang w:eastAsia="lt-LT"/>
              </w:rPr>
              <w:t>.</w:t>
            </w:r>
          </w:p>
          <w:p w:rsidR="008D4592" w:rsidRDefault="008D4592" w:rsidP="00100A83">
            <w:pPr>
              <w:jc w:val="both"/>
              <w:rPr>
                <w:lang w:eastAsia="lt-LT"/>
              </w:rPr>
            </w:pPr>
            <w:r>
              <w:rPr>
                <w:lang w:eastAsia="lt-LT"/>
              </w:rPr>
              <w:t xml:space="preserve">3. </w:t>
            </w:r>
            <w:r w:rsidR="00D0594B">
              <w:rPr>
                <w:lang w:eastAsia="lt-LT"/>
              </w:rPr>
              <w:t>S</w:t>
            </w:r>
            <w:r>
              <w:rPr>
                <w:lang w:eastAsia="lt-LT"/>
              </w:rPr>
              <w:t>avivaldybės vykdomoji institucija.</w:t>
            </w:r>
          </w:p>
          <w:p w:rsidR="008D4592" w:rsidRDefault="008D4592" w:rsidP="00100A83">
            <w:pPr>
              <w:jc w:val="both"/>
            </w:pPr>
            <w:r>
              <w:rPr>
                <w:lang w:eastAsia="lt-LT"/>
              </w:rPr>
              <w:t>4. Savivaldybės paskirtas savivaldybės energinio efektyvumo didinimo programos įgyvendinimo administratorius.</w:t>
            </w:r>
          </w:p>
        </w:tc>
      </w:tr>
      <w:tr w:rsidR="008D4592" w:rsidTr="003C11CF">
        <w:tc>
          <w:tcPr>
            <w:tcW w:w="846" w:type="dxa"/>
            <w:tcBorders>
              <w:bottom w:val="single" w:sz="4" w:space="0" w:color="auto"/>
            </w:tcBorders>
          </w:tcPr>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8D4592" w:rsidRDefault="008D4592" w:rsidP="00100A83">
            <w:pPr>
              <w:jc w:val="center"/>
              <w:rPr>
                <w:b/>
              </w:rPr>
            </w:pPr>
          </w:p>
          <w:p w:rsidR="00784085" w:rsidRDefault="00784085" w:rsidP="00784085">
            <w:pPr>
              <w:rPr>
                <w:b/>
              </w:rPr>
            </w:pPr>
          </w:p>
          <w:p w:rsidR="008D4592" w:rsidRDefault="008D4592" w:rsidP="00100A83">
            <w:pPr>
              <w:jc w:val="center"/>
              <w:rPr>
                <w:b/>
              </w:rPr>
            </w:pPr>
            <w:r>
              <w:rPr>
                <w:b/>
              </w:rPr>
              <w:t>3.</w:t>
            </w:r>
          </w:p>
          <w:p w:rsidR="008D4592" w:rsidRDefault="008D4592" w:rsidP="008D4592">
            <w:pPr>
              <w:rPr>
                <w:b/>
              </w:rPr>
            </w:pPr>
          </w:p>
        </w:tc>
        <w:tc>
          <w:tcPr>
            <w:tcW w:w="2551" w:type="dxa"/>
            <w:vAlign w:val="center"/>
          </w:tcPr>
          <w:p w:rsidR="008D4592" w:rsidRDefault="008D4592" w:rsidP="00100A83">
            <w:pPr>
              <w:jc w:val="center"/>
              <w:rPr>
                <w:b/>
              </w:rPr>
            </w:pPr>
          </w:p>
          <w:p w:rsidR="00784085" w:rsidRDefault="00784085" w:rsidP="00100A83">
            <w:pPr>
              <w:jc w:val="center"/>
              <w:rPr>
                <w:b/>
              </w:rPr>
            </w:pPr>
          </w:p>
          <w:p w:rsidR="008D4592" w:rsidRPr="00A86F46" w:rsidRDefault="008D4592" w:rsidP="00100A83">
            <w:pPr>
              <w:jc w:val="center"/>
              <w:rPr>
                <w:b/>
              </w:rPr>
            </w:pPr>
            <w:r>
              <w:rPr>
                <w:b/>
              </w:rPr>
              <w:t>Paraiška</w:t>
            </w:r>
          </w:p>
        </w:tc>
        <w:tc>
          <w:tcPr>
            <w:tcW w:w="6231" w:type="dxa"/>
            <w:gridSpan w:val="4"/>
            <w:tcBorders>
              <w:bottom w:val="single" w:sz="4" w:space="0" w:color="auto"/>
            </w:tcBorders>
          </w:tcPr>
          <w:p w:rsidR="008D4592" w:rsidRDefault="008D4592" w:rsidP="00100A83">
            <w:pPr>
              <w:jc w:val="both"/>
            </w:pPr>
            <w:r>
              <w:t>1. Viešosios įstaigos Būsto energijos taupymo agentūros (toliau – Agentūra) nustatytos formos paraiška.</w:t>
            </w:r>
          </w:p>
          <w:p w:rsidR="008D4592" w:rsidRPr="00BC6F35" w:rsidRDefault="008D4592" w:rsidP="00100A83">
            <w:pPr>
              <w:jc w:val="both"/>
            </w:pPr>
            <w:r>
              <w:t xml:space="preserve">2. Daugiabučio namo atnaujinimo (modernizavimo) investicijų planas, parengtas pagal paraiškos teikimo metu </w:t>
            </w:r>
            <w:r w:rsidRPr="00BA3A35">
              <w:t>galiojanči</w:t>
            </w:r>
            <w:r>
              <w:t xml:space="preserve">ą Daugiabučio namo atnaujinimo (modernizavimo) investicijų plano rengimo tvarkos aprašo, patvirtinto Lietuvos Respublikos aplinkos ministro 2009 m. lapkričio 10 d. įsakymu Nr. D1-677 „Dėl Daugiabučio namo atnaujinimo (modernizavimo) investicijų plano rengimo tvarkos aprašo patvirtinimo“, </w:t>
            </w:r>
            <w:r w:rsidRPr="00BA3A35">
              <w:rPr>
                <w:bCs/>
              </w:rPr>
              <w:t>suvestin</w:t>
            </w:r>
            <w:r>
              <w:rPr>
                <w:bCs/>
              </w:rPr>
              <w:t>ę</w:t>
            </w:r>
            <w:r w:rsidRPr="00BA3A35">
              <w:rPr>
                <w:bCs/>
              </w:rPr>
              <w:t xml:space="preserve"> redakcij</w:t>
            </w:r>
            <w:r>
              <w:rPr>
                <w:bCs/>
              </w:rPr>
              <w:t xml:space="preserve">ą, </w:t>
            </w:r>
            <w:r w:rsidRPr="00BC6F35">
              <w:rPr>
                <w:bCs/>
              </w:rPr>
              <w:t>kuriame aprašant išorinių sienų ir cokolio šiltinimo priemonę, nurod</w:t>
            </w:r>
            <w:r w:rsidR="00D0594B">
              <w:rPr>
                <w:bCs/>
              </w:rPr>
              <w:t>oma</w:t>
            </w:r>
            <w:r w:rsidRPr="00BC6F35">
              <w:rPr>
                <w:bCs/>
              </w:rPr>
              <w:t xml:space="preserve">, kad išorinių sienų ir cokolio šiltinimo darbams turi būti naudojama išorinė termoizoliacinė sistema (statybvietėje vertikalių atitvarų, taip pat horizontalių ar pasvirusių nuo kritulių apsaugotų atitvarų išorėje įrengiama sienų apšiltinimo ir apdailos sistema), kurią turi sudaryti kaip vieno gamintojo statybos produktas į rinką pateiktas statybos produktų </w:t>
            </w:r>
            <w:bookmarkStart w:id="0" w:name="_Hlk517961209"/>
            <w:r w:rsidRPr="00BC6F35">
              <w:rPr>
                <w:bCs/>
              </w:rPr>
              <w:t>rinkinys (komplektas)</w:t>
            </w:r>
            <w:bookmarkEnd w:id="0"/>
            <w:r w:rsidRPr="00BC6F35">
              <w:rPr>
                <w:bCs/>
              </w:rPr>
              <w:t>, turintis Europos techninį įvertinimą  ir paženklintas CE ženklu, arba turintis nacionalinį techninį įvertinimą, arba minėtos sistemos turi būti suprojektuotos naudojant atskirus nustatyta tvarka CE ženklu ženklinamus statybos produktus.</w:t>
            </w:r>
          </w:p>
          <w:p w:rsidR="008D4592" w:rsidRDefault="008D4592" w:rsidP="00100A83">
            <w:pPr>
              <w:jc w:val="both"/>
            </w:pPr>
            <w:r>
              <w:t>3. Esamos būklės daugiabučio namo energinio naudingumo sertifikatas.</w:t>
            </w:r>
          </w:p>
          <w:p w:rsidR="008D4592" w:rsidRDefault="008D4592" w:rsidP="00100A83">
            <w:pPr>
              <w:jc w:val="both"/>
            </w:pPr>
            <w:r>
              <w:t xml:space="preserve">4. Daugiabučio namo </w:t>
            </w:r>
            <w:r w:rsidRPr="0029373D">
              <w:t>Nekilnojamojo turto registro išrašas</w:t>
            </w:r>
            <w:r>
              <w:t>.</w:t>
            </w:r>
          </w:p>
          <w:p w:rsidR="008D4592" w:rsidRDefault="008D4592" w:rsidP="00100A83">
            <w:pPr>
              <w:jc w:val="both"/>
              <w:rPr>
                <w:b/>
              </w:rPr>
            </w:pPr>
            <w:r>
              <w:t xml:space="preserve">5. </w:t>
            </w:r>
            <w:r w:rsidRPr="002145FB">
              <w:t>Daugiabučio namo butų ir kitų patalpų savininkų susirinkimo protokolas, kurio forma patvirtinta Lietuvos Respublikos aplinkos ministro 2013 m. liepos 3 d. įsakymu Nr. D1-495 „Dėl Pavyzdinės butų ir kitų patalpų savininkų sprendimo dėl daugiabučio namo atnaujinimo (modernizavimo) protokolo formos ir pavyzdinės pavedimo organizuoti daugiabučio namo atnaujinimo (modernizavimo) projekto parengimą ir (ar) įgyvendinimą, ir (ar) finansavimą sutarties formos patvirtinimo“, kuriuo daugiabučio namo butų ir kitų patalpų savininkai pritaria daugiabučio namo atnaujinimui (modernizavimui) ir patvirtina daugiabučio namo atnaujinimo (modernizavimo) investicijų planą</w:t>
            </w:r>
            <w:r>
              <w:t>.</w:t>
            </w:r>
            <w:r>
              <w:rPr>
                <w:b/>
              </w:rPr>
              <w:t xml:space="preserve"> </w:t>
            </w:r>
          </w:p>
          <w:p w:rsidR="008D4592" w:rsidRPr="00BC6F35" w:rsidRDefault="008D4592" w:rsidP="00100A83">
            <w:pPr>
              <w:jc w:val="both"/>
            </w:pPr>
            <w:r w:rsidRPr="00BC6F35">
              <w:lastRenderedPageBreak/>
              <w:t>6. Butų ir kitų patalpų savininkų pasirinkto finansuotojo nustatytos formos  protokolas dėl lėšų skolinimosi.</w:t>
            </w:r>
          </w:p>
          <w:p w:rsidR="008D4592" w:rsidRDefault="008D4592" w:rsidP="00100A83">
            <w:pPr>
              <w:jc w:val="both"/>
              <w:rPr>
                <w:lang w:eastAsia="lt-LT"/>
              </w:rPr>
            </w:pPr>
            <w:r>
              <w:t>7. Pavedimo sutartis, jeigu butų ir kitų patalpų savininkų sprendimu projekto įgyvendinimo administravimas pavedamas savivaldybės programos įgyvendinimo administratoriui arba kitam asmeniui, teikiančiam projekto įgyvendinimo administravimo paslaugas.</w:t>
            </w:r>
          </w:p>
        </w:tc>
      </w:tr>
      <w:tr w:rsidR="008D4592" w:rsidTr="003C11CF">
        <w:tc>
          <w:tcPr>
            <w:tcW w:w="846" w:type="dxa"/>
            <w:tcBorders>
              <w:bottom w:val="nil"/>
            </w:tcBorders>
          </w:tcPr>
          <w:p w:rsidR="008D4592" w:rsidRPr="00FC17C4" w:rsidRDefault="008D4592" w:rsidP="0035444C">
            <w:pPr>
              <w:jc w:val="center"/>
              <w:rPr>
                <w:b/>
              </w:rPr>
            </w:pPr>
          </w:p>
        </w:tc>
        <w:tc>
          <w:tcPr>
            <w:tcW w:w="2551" w:type="dxa"/>
            <w:vMerge w:val="restart"/>
            <w:vAlign w:val="center"/>
          </w:tcPr>
          <w:p w:rsidR="008D4592" w:rsidRPr="00A86F46" w:rsidRDefault="008D4592" w:rsidP="0035444C">
            <w:pPr>
              <w:jc w:val="center"/>
              <w:rPr>
                <w:b/>
              </w:rPr>
            </w:pPr>
            <w:r w:rsidRPr="00FC17C4">
              <w:rPr>
                <w:b/>
              </w:rPr>
              <w:t>Kvietimo lėšų suma</w:t>
            </w:r>
          </w:p>
        </w:tc>
        <w:tc>
          <w:tcPr>
            <w:tcW w:w="4238" w:type="dxa"/>
            <w:gridSpan w:val="3"/>
            <w:tcBorders>
              <w:top w:val="single" w:sz="4" w:space="0" w:color="auto"/>
            </w:tcBorders>
          </w:tcPr>
          <w:p w:rsidR="008D4592" w:rsidRDefault="008D4592" w:rsidP="0035444C">
            <w:pPr>
              <w:jc w:val="both"/>
              <w:rPr>
                <w:lang w:eastAsia="lt-LT"/>
              </w:rPr>
            </w:pPr>
            <w:r>
              <w:rPr>
                <w:lang w:eastAsia="lt-LT"/>
              </w:rPr>
              <w:t>Investicijos atnaujinimo (modernizavimo) projektams finansuoti</w:t>
            </w:r>
          </w:p>
        </w:tc>
        <w:tc>
          <w:tcPr>
            <w:tcW w:w="1993" w:type="dxa"/>
            <w:tcBorders>
              <w:top w:val="single" w:sz="4" w:space="0" w:color="auto"/>
            </w:tcBorders>
            <w:vAlign w:val="center"/>
          </w:tcPr>
          <w:p w:rsidR="008D4592" w:rsidRPr="00114BF5" w:rsidRDefault="008D4592" w:rsidP="0035444C">
            <w:pPr>
              <w:jc w:val="center"/>
              <w:rPr>
                <w:b/>
                <w:lang w:eastAsia="lt-LT"/>
              </w:rPr>
            </w:pPr>
            <w:r w:rsidRPr="00114BF5">
              <w:rPr>
                <w:b/>
                <w:lang w:eastAsia="lt-LT"/>
              </w:rPr>
              <w:t>150 mln. eurų</w:t>
            </w:r>
          </w:p>
        </w:tc>
      </w:tr>
      <w:tr w:rsidR="008D4592" w:rsidTr="003C11CF">
        <w:tc>
          <w:tcPr>
            <w:tcW w:w="846" w:type="dxa"/>
            <w:tcBorders>
              <w:top w:val="nil"/>
            </w:tcBorders>
          </w:tcPr>
          <w:p w:rsidR="008D4592" w:rsidRDefault="008D4592" w:rsidP="00311668">
            <w:pPr>
              <w:jc w:val="center"/>
              <w:rPr>
                <w:b/>
              </w:rPr>
            </w:pPr>
          </w:p>
          <w:p w:rsidR="008D4592" w:rsidRDefault="008D4592" w:rsidP="00311668">
            <w:pPr>
              <w:jc w:val="center"/>
              <w:rPr>
                <w:b/>
              </w:rPr>
            </w:pPr>
          </w:p>
          <w:p w:rsidR="008D4592" w:rsidRDefault="008D4592" w:rsidP="00311668">
            <w:pPr>
              <w:jc w:val="center"/>
              <w:rPr>
                <w:b/>
              </w:rPr>
            </w:pPr>
          </w:p>
          <w:p w:rsidR="00784085" w:rsidRDefault="00784085" w:rsidP="00311668">
            <w:pPr>
              <w:jc w:val="center"/>
              <w:rPr>
                <w:b/>
              </w:rPr>
            </w:pPr>
          </w:p>
          <w:p w:rsidR="008D4592" w:rsidRPr="00FC17C4" w:rsidRDefault="008D4592" w:rsidP="00311668">
            <w:pPr>
              <w:jc w:val="center"/>
              <w:rPr>
                <w:b/>
              </w:rPr>
            </w:pPr>
            <w:r>
              <w:rPr>
                <w:b/>
              </w:rPr>
              <w:t>4.</w:t>
            </w:r>
          </w:p>
        </w:tc>
        <w:tc>
          <w:tcPr>
            <w:tcW w:w="2551" w:type="dxa"/>
            <w:vMerge/>
            <w:vAlign w:val="center"/>
          </w:tcPr>
          <w:p w:rsidR="008D4592" w:rsidRPr="00FC17C4" w:rsidRDefault="008D4592" w:rsidP="00311668">
            <w:pPr>
              <w:jc w:val="center"/>
              <w:rPr>
                <w:b/>
              </w:rPr>
            </w:pPr>
          </w:p>
        </w:tc>
        <w:tc>
          <w:tcPr>
            <w:tcW w:w="4238" w:type="dxa"/>
            <w:gridSpan w:val="3"/>
          </w:tcPr>
          <w:p w:rsidR="008D4592" w:rsidRDefault="008D4592" w:rsidP="0035444C">
            <w:pPr>
              <w:jc w:val="both"/>
            </w:pPr>
            <w:r>
              <w:t>Valstybės biudžeto lėšos valstybės paramai teikti, kompensuojant investicijų dalį, tenkančią Daugiabučių namų atnaujinimo (modernizavimo) programos, patvirtintos Lietuvos Respublikos Vyriausybės 2004 m. rugsėjo 23 d. nutarimu Nr. 1213 „Dėl Daugiabučių namų atnaujinimo (modernizavimo) programos patvirtinimo“ (toliau – Programa), priede nurodytoms energinį efektyvumą didinančioms priemonėms</w:t>
            </w:r>
          </w:p>
        </w:tc>
        <w:tc>
          <w:tcPr>
            <w:tcW w:w="1993" w:type="dxa"/>
            <w:vAlign w:val="center"/>
          </w:tcPr>
          <w:p w:rsidR="008D4592" w:rsidRPr="00114BF5" w:rsidRDefault="008D4592" w:rsidP="00114BF5">
            <w:pPr>
              <w:jc w:val="center"/>
              <w:rPr>
                <w:b/>
              </w:rPr>
            </w:pPr>
            <w:r w:rsidRPr="00114BF5">
              <w:rPr>
                <w:b/>
              </w:rPr>
              <w:t>50 mln. eurų</w:t>
            </w:r>
          </w:p>
        </w:tc>
      </w:tr>
      <w:tr w:rsidR="008D4592" w:rsidTr="003C11CF">
        <w:tc>
          <w:tcPr>
            <w:tcW w:w="846" w:type="dxa"/>
            <w:tcBorders>
              <w:bottom w:val="single" w:sz="4" w:space="0" w:color="auto"/>
            </w:tcBorders>
          </w:tcPr>
          <w:p w:rsidR="008D4592" w:rsidRDefault="008D4592" w:rsidP="00784085">
            <w:pPr>
              <w:jc w:val="center"/>
              <w:rPr>
                <w:b/>
              </w:rPr>
            </w:pPr>
            <w:r>
              <w:rPr>
                <w:b/>
              </w:rPr>
              <w:t>5.</w:t>
            </w:r>
          </w:p>
        </w:tc>
        <w:tc>
          <w:tcPr>
            <w:tcW w:w="2551" w:type="dxa"/>
          </w:tcPr>
          <w:p w:rsidR="008D4592" w:rsidRPr="00FC17C4" w:rsidRDefault="008D4592" w:rsidP="00A86F46">
            <w:pPr>
              <w:jc w:val="center"/>
              <w:rPr>
                <w:b/>
              </w:rPr>
            </w:pPr>
            <w:r>
              <w:rPr>
                <w:b/>
              </w:rPr>
              <w:t>Tinkamos finansuoti išlaidos</w:t>
            </w:r>
          </w:p>
        </w:tc>
        <w:tc>
          <w:tcPr>
            <w:tcW w:w="6231" w:type="dxa"/>
            <w:gridSpan w:val="4"/>
          </w:tcPr>
          <w:p w:rsidR="008D4592" w:rsidRDefault="008D4592" w:rsidP="00A86F46">
            <w:pPr>
              <w:jc w:val="both"/>
            </w:pPr>
            <w:r>
              <w:t>Programos priede nurodytos valstybės remiamos daugiabučio namo atnaujinimo (modernizavimo) priemonės</w:t>
            </w:r>
          </w:p>
        </w:tc>
      </w:tr>
      <w:tr w:rsidR="008D4592" w:rsidTr="003C11CF">
        <w:tc>
          <w:tcPr>
            <w:tcW w:w="846" w:type="dxa"/>
            <w:tcBorders>
              <w:bottom w:val="nil"/>
            </w:tcBorders>
          </w:tcPr>
          <w:p w:rsidR="008D4592" w:rsidRDefault="008D4592" w:rsidP="00774240">
            <w:pPr>
              <w:jc w:val="center"/>
              <w:rPr>
                <w:b/>
              </w:rPr>
            </w:pPr>
            <w:r>
              <w:rPr>
                <w:b/>
              </w:rPr>
              <w:t>.</w:t>
            </w:r>
          </w:p>
          <w:p w:rsidR="008D4592" w:rsidRDefault="008D4592" w:rsidP="00774240">
            <w:pPr>
              <w:jc w:val="center"/>
              <w:rPr>
                <w:b/>
              </w:rPr>
            </w:pPr>
          </w:p>
          <w:p w:rsidR="008D4592" w:rsidRDefault="008D4592" w:rsidP="00774240">
            <w:pPr>
              <w:jc w:val="center"/>
              <w:rPr>
                <w:b/>
              </w:rPr>
            </w:pPr>
          </w:p>
          <w:p w:rsidR="008D4592" w:rsidRDefault="008D4592" w:rsidP="00774240">
            <w:pPr>
              <w:jc w:val="center"/>
              <w:rPr>
                <w:b/>
              </w:rPr>
            </w:pPr>
          </w:p>
          <w:p w:rsidR="008D4592" w:rsidRDefault="008D4592" w:rsidP="00774240">
            <w:pPr>
              <w:jc w:val="center"/>
              <w:rPr>
                <w:b/>
              </w:rPr>
            </w:pPr>
          </w:p>
          <w:p w:rsidR="008D4592" w:rsidRDefault="008D4592" w:rsidP="00774240">
            <w:pPr>
              <w:jc w:val="center"/>
              <w:rPr>
                <w:b/>
              </w:rPr>
            </w:pPr>
            <w:r>
              <w:rPr>
                <w:b/>
              </w:rPr>
              <w:t>6.</w:t>
            </w:r>
          </w:p>
        </w:tc>
        <w:tc>
          <w:tcPr>
            <w:tcW w:w="2551" w:type="dxa"/>
            <w:vMerge w:val="restart"/>
            <w:vAlign w:val="center"/>
          </w:tcPr>
          <w:p w:rsidR="008D4592" w:rsidRPr="00774240" w:rsidRDefault="008D4592" w:rsidP="00774240">
            <w:pPr>
              <w:jc w:val="center"/>
              <w:rPr>
                <w:b/>
              </w:rPr>
            </w:pPr>
            <w:r>
              <w:rPr>
                <w:b/>
              </w:rPr>
              <w:t>Minimalūs r</w:t>
            </w:r>
            <w:r w:rsidRPr="00774240">
              <w:rPr>
                <w:b/>
              </w:rPr>
              <w:t>eikalavimai projektams</w:t>
            </w:r>
          </w:p>
        </w:tc>
        <w:tc>
          <w:tcPr>
            <w:tcW w:w="6231" w:type="dxa"/>
            <w:gridSpan w:val="4"/>
          </w:tcPr>
          <w:p w:rsidR="008D4592" w:rsidRDefault="008D4592" w:rsidP="00681439">
            <w:pPr>
              <w:jc w:val="both"/>
            </w:pPr>
            <w:r>
              <w:t xml:space="preserve">Daugiabučiams namams, kuriems minimalūs privalomi pastatų energinio naudingumo reikalavimai nustatomi: </w:t>
            </w:r>
            <w:r w:rsidRPr="00681439">
              <w:rPr>
                <w:i/>
              </w:rPr>
              <w:t>ne mažesnė kaip C pastato energinio naudingumo klasė ir skaičiuojam</w:t>
            </w:r>
            <w:r>
              <w:rPr>
                <w:i/>
              </w:rPr>
              <w:t>ųjų šiluminės energijos sąnaudų</w:t>
            </w:r>
            <w:r w:rsidRPr="00681439">
              <w:rPr>
                <w:i/>
              </w:rPr>
              <w:t xml:space="preserve"> sumažinimas ne mažiau kaip 40 procentų, palyginti su šiomis sąnaudomis iki atnaujinimo projekto įgyvendinimo</w:t>
            </w:r>
            <w:r>
              <w:t>.</w:t>
            </w:r>
          </w:p>
        </w:tc>
      </w:tr>
      <w:tr w:rsidR="008D4592" w:rsidTr="003C11CF">
        <w:tc>
          <w:tcPr>
            <w:tcW w:w="846" w:type="dxa"/>
            <w:tcBorders>
              <w:top w:val="nil"/>
            </w:tcBorders>
          </w:tcPr>
          <w:p w:rsidR="008D4592" w:rsidRDefault="008D4592" w:rsidP="00A86F46">
            <w:pPr>
              <w:jc w:val="center"/>
            </w:pPr>
          </w:p>
        </w:tc>
        <w:tc>
          <w:tcPr>
            <w:tcW w:w="2551" w:type="dxa"/>
            <w:vMerge/>
          </w:tcPr>
          <w:p w:rsidR="008D4592" w:rsidRDefault="008D4592" w:rsidP="00A86F46">
            <w:pPr>
              <w:jc w:val="center"/>
            </w:pPr>
          </w:p>
        </w:tc>
        <w:tc>
          <w:tcPr>
            <w:tcW w:w="6231" w:type="dxa"/>
            <w:gridSpan w:val="4"/>
          </w:tcPr>
          <w:p w:rsidR="008D4592" w:rsidRDefault="008D4592" w:rsidP="003C74FB">
            <w:pPr>
              <w:jc w:val="both"/>
            </w:pPr>
            <w:r>
              <w:t xml:space="preserve">Daugiabučiams namams, kuriems minimalūs privalomi pastatų energinio naudingumo reikalavimai nenustatomi: </w:t>
            </w:r>
            <w:r w:rsidRPr="003C74FB">
              <w:rPr>
                <w:i/>
              </w:rPr>
              <w:t>skaičiuojamųjų šiluminės energijos sąnaudų sumažinimas ne mažiau kaip 25 procentais, palyginti su šiomis sąnaudomis iki atnaujinimo projekto įgyvendinimo</w:t>
            </w:r>
            <w:r>
              <w:t>.</w:t>
            </w:r>
          </w:p>
        </w:tc>
      </w:tr>
      <w:tr w:rsidR="008D4592" w:rsidTr="003C11CF">
        <w:tc>
          <w:tcPr>
            <w:tcW w:w="846" w:type="dxa"/>
            <w:tcBorders>
              <w:bottom w:val="single" w:sz="4" w:space="0" w:color="auto"/>
            </w:tcBorders>
          </w:tcPr>
          <w:p w:rsidR="008D4592" w:rsidRDefault="008D4592" w:rsidP="008A3282">
            <w:pPr>
              <w:jc w:val="center"/>
              <w:rPr>
                <w:b/>
              </w:rPr>
            </w:pPr>
          </w:p>
          <w:p w:rsidR="00784085" w:rsidRDefault="00784085" w:rsidP="00784085">
            <w:pPr>
              <w:rPr>
                <w:b/>
              </w:rPr>
            </w:pPr>
          </w:p>
          <w:p w:rsidR="008D4592" w:rsidRPr="008A3282" w:rsidRDefault="008D4592" w:rsidP="008A3282">
            <w:pPr>
              <w:jc w:val="center"/>
              <w:rPr>
                <w:b/>
              </w:rPr>
            </w:pPr>
            <w:r>
              <w:rPr>
                <w:b/>
              </w:rPr>
              <w:t>7.</w:t>
            </w:r>
          </w:p>
        </w:tc>
        <w:tc>
          <w:tcPr>
            <w:tcW w:w="2551" w:type="dxa"/>
            <w:vAlign w:val="center"/>
          </w:tcPr>
          <w:p w:rsidR="008D4592" w:rsidRPr="008A3282" w:rsidRDefault="008D4592" w:rsidP="008A3282">
            <w:pPr>
              <w:jc w:val="center"/>
              <w:rPr>
                <w:b/>
              </w:rPr>
            </w:pPr>
            <w:r w:rsidRPr="008A3282">
              <w:rPr>
                <w:b/>
              </w:rPr>
              <w:t>Specialieji reikalavimai projektams</w:t>
            </w:r>
          </w:p>
        </w:tc>
        <w:tc>
          <w:tcPr>
            <w:tcW w:w="6231" w:type="dxa"/>
            <w:gridSpan w:val="4"/>
          </w:tcPr>
          <w:p w:rsidR="008D4592" w:rsidRDefault="008D4592" w:rsidP="00774240">
            <w:pPr>
              <w:jc w:val="both"/>
            </w:pPr>
            <w:r>
              <w:t xml:space="preserve">Daugiabučio namo atnaujinimo (modernizavimo) investicijų planas patvirtintas ir sprendimas dėl daugiabučio namo atnaujinimo (modernizavimo) įgyvendinimo priimtas Lietuvos Respublikos civilinio kodekso 4.85 straipsnyje nustatyta tvarka ne </w:t>
            </w:r>
            <w:r w:rsidRPr="008475D6">
              <w:t>mažesniu kaip 55 procentų</w:t>
            </w:r>
            <w:r>
              <w:t xml:space="preserve"> butų ir kitų patalpų savininkų balsų dauguma.</w:t>
            </w:r>
          </w:p>
        </w:tc>
      </w:tr>
      <w:tr w:rsidR="00636B09" w:rsidTr="003C11CF">
        <w:tc>
          <w:tcPr>
            <w:tcW w:w="846" w:type="dxa"/>
            <w:vMerge w:val="restart"/>
          </w:tcPr>
          <w:p w:rsidR="00636B09" w:rsidRDefault="00636B09" w:rsidP="000F181E">
            <w:pPr>
              <w:jc w:val="both"/>
              <w:rPr>
                <w:b/>
              </w:rPr>
            </w:pPr>
          </w:p>
          <w:p w:rsidR="00636B09" w:rsidRDefault="00636B09" w:rsidP="000F181E">
            <w:pPr>
              <w:jc w:val="both"/>
              <w:rPr>
                <w:b/>
              </w:rPr>
            </w:pPr>
          </w:p>
          <w:p w:rsidR="00636B09" w:rsidRDefault="00636B09" w:rsidP="000F181E">
            <w:pPr>
              <w:jc w:val="both"/>
              <w:rPr>
                <w:b/>
              </w:rPr>
            </w:pPr>
          </w:p>
          <w:p w:rsidR="00636B09" w:rsidRDefault="00636B09" w:rsidP="000F181E">
            <w:pPr>
              <w:jc w:val="both"/>
              <w:rPr>
                <w:b/>
              </w:rPr>
            </w:pPr>
          </w:p>
          <w:p w:rsidR="00636B09" w:rsidRDefault="00636B09" w:rsidP="000F181E">
            <w:pPr>
              <w:jc w:val="both"/>
              <w:rPr>
                <w:b/>
              </w:rPr>
            </w:pPr>
          </w:p>
          <w:p w:rsidR="00636B09" w:rsidRDefault="00636B09" w:rsidP="000F181E">
            <w:pPr>
              <w:jc w:val="both"/>
              <w:rPr>
                <w:b/>
              </w:rPr>
            </w:pPr>
          </w:p>
          <w:p w:rsidR="00636B09" w:rsidRDefault="00636B09" w:rsidP="008D4592">
            <w:pPr>
              <w:jc w:val="center"/>
              <w:rPr>
                <w:b/>
              </w:rPr>
            </w:pPr>
            <w:r>
              <w:rPr>
                <w:b/>
              </w:rPr>
              <w:t>8.</w:t>
            </w:r>
          </w:p>
        </w:tc>
        <w:tc>
          <w:tcPr>
            <w:tcW w:w="2551" w:type="dxa"/>
            <w:vMerge w:val="restart"/>
            <w:vAlign w:val="center"/>
          </w:tcPr>
          <w:p w:rsidR="00636B09" w:rsidRPr="004F1F0D" w:rsidRDefault="00636B09" w:rsidP="000F181E">
            <w:pPr>
              <w:jc w:val="both"/>
              <w:rPr>
                <w:b/>
              </w:rPr>
            </w:pPr>
            <w:r>
              <w:rPr>
                <w:b/>
              </w:rPr>
              <w:t>Valstybės parama</w:t>
            </w:r>
          </w:p>
        </w:tc>
        <w:tc>
          <w:tcPr>
            <w:tcW w:w="3101" w:type="dxa"/>
            <w:gridSpan w:val="2"/>
            <w:vAlign w:val="center"/>
          </w:tcPr>
          <w:p w:rsidR="00636B09" w:rsidRDefault="00636B09" w:rsidP="0096346D">
            <w:pPr>
              <w:jc w:val="center"/>
            </w:pPr>
            <w:r>
              <w:t>Lengvatinis kreditas</w:t>
            </w:r>
          </w:p>
        </w:tc>
        <w:tc>
          <w:tcPr>
            <w:tcW w:w="3130" w:type="dxa"/>
            <w:gridSpan w:val="2"/>
          </w:tcPr>
          <w:p w:rsidR="00636B09" w:rsidRDefault="00636B09" w:rsidP="00D8791E">
            <w:pPr>
              <w:jc w:val="both"/>
            </w:pPr>
            <w:r>
              <w:t>Penkerius metus nuo pirmosios kredito dalies išmokėjimo už atliktus statybos rangos darbus dienos apmokant šio kredito bendrų metinių palūkanų dalį, viršijančią 3 procentus, jeigu kredito metinės palūkanos viršija 3 procentus.</w:t>
            </w:r>
          </w:p>
        </w:tc>
      </w:tr>
      <w:tr w:rsidR="00636B09" w:rsidTr="003C11CF">
        <w:tc>
          <w:tcPr>
            <w:tcW w:w="846" w:type="dxa"/>
            <w:vMerge/>
          </w:tcPr>
          <w:p w:rsidR="00636B09" w:rsidRPr="004F1F0D" w:rsidRDefault="00636B09" w:rsidP="00A86F46">
            <w:pPr>
              <w:jc w:val="center"/>
              <w:rPr>
                <w:b/>
              </w:rPr>
            </w:pPr>
          </w:p>
        </w:tc>
        <w:tc>
          <w:tcPr>
            <w:tcW w:w="2551" w:type="dxa"/>
            <w:vMerge/>
          </w:tcPr>
          <w:p w:rsidR="00636B09" w:rsidRPr="004F1F0D" w:rsidRDefault="00636B09" w:rsidP="00A86F46">
            <w:pPr>
              <w:jc w:val="center"/>
              <w:rPr>
                <w:b/>
              </w:rPr>
            </w:pPr>
          </w:p>
        </w:tc>
        <w:tc>
          <w:tcPr>
            <w:tcW w:w="3101" w:type="dxa"/>
            <w:gridSpan w:val="2"/>
            <w:vMerge w:val="restart"/>
            <w:vAlign w:val="center"/>
          </w:tcPr>
          <w:p w:rsidR="00636B09" w:rsidRDefault="00636B09" w:rsidP="00FB7896">
            <w:pPr>
              <w:jc w:val="center"/>
            </w:pPr>
            <w:r>
              <w:t>100 procentų kompensuojant faktines išlaidas, neviršijant Vyriausybės nustatytų dydžių</w:t>
            </w:r>
          </w:p>
        </w:tc>
        <w:tc>
          <w:tcPr>
            <w:tcW w:w="3130" w:type="dxa"/>
            <w:gridSpan w:val="2"/>
          </w:tcPr>
          <w:p w:rsidR="00636B09" w:rsidRDefault="00636B09" w:rsidP="004F1F0D">
            <w:pPr>
              <w:jc w:val="both"/>
            </w:pPr>
            <w:r>
              <w:t xml:space="preserve">Atnaujinimo (modernizavimo) projektui (daugiabučio namo atnaujinimo (modernizavimo) </w:t>
            </w:r>
            <w:r>
              <w:lastRenderedPageBreak/>
              <w:t>investicijų planas (įskaitant pastato energinio naudingumo sertifikatus prieš ir po projekto įgyvendinimo), techninis darbo projektas, įskaitant projekto vykdymo priežiūrą ir projekto ekspertizę) parengti.</w:t>
            </w:r>
          </w:p>
        </w:tc>
      </w:tr>
      <w:tr w:rsidR="00636B09" w:rsidTr="003C11CF">
        <w:tc>
          <w:tcPr>
            <w:tcW w:w="846" w:type="dxa"/>
            <w:vMerge/>
          </w:tcPr>
          <w:p w:rsidR="00636B09" w:rsidRDefault="00636B09" w:rsidP="00A86F46">
            <w:pPr>
              <w:jc w:val="center"/>
            </w:pPr>
          </w:p>
        </w:tc>
        <w:tc>
          <w:tcPr>
            <w:tcW w:w="2551" w:type="dxa"/>
            <w:vMerge/>
          </w:tcPr>
          <w:p w:rsidR="00636B09" w:rsidRDefault="00636B09" w:rsidP="00A86F46">
            <w:pPr>
              <w:jc w:val="center"/>
            </w:pPr>
          </w:p>
        </w:tc>
        <w:tc>
          <w:tcPr>
            <w:tcW w:w="3101" w:type="dxa"/>
            <w:gridSpan w:val="2"/>
            <w:vMerge/>
          </w:tcPr>
          <w:p w:rsidR="00636B09" w:rsidRDefault="00636B09" w:rsidP="00A86F46">
            <w:pPr>
              <w:jc w:val="both"/>
            </w:pPr>
          </w:p>
        </w:tc>
        <w:tc>
          <w:tcPr>
            <w:tcW w:w="3130" w:type="dxa"/>
            <w:gridSpan w:val="2"/>
          </w:tcPr>
          <w:p w:rsidR="00636B09" w:rsidRDefault="00636B09" w:rsidP="00A86F46">
            <w:pPr>
              <w:jc w:val="both"/>
            </w:pPr>
            <w:r>
              <w:t>Statybos techninei priežiūrai vykdyti.</w:t>
            </w:r>
          </w:p>
        </w:tc>
      </w:tr>
      <w:tr w:rsidR="00636B09" w:rsidTr="003C11CF">
        <w:tc>
          <w:tcPr>
            <w:tcW w:w="846" w:type="dxa"/>
            <w:vMerge/>
          </w:tcPr>
          <w:p w:rsidR="00636B09" w:rsidRDefault="00636B09" w:rsidP="00A86F46">
            <w:pPr>
              <w:jc w:val="center"/>
            </w:pPr>
          </w:p>
        </w:tc>
        <w:tc>
          <w:tcPr>
            <w:tcW w:w="2551" w:type="dxa"/>
            <w:vMerge/>
          </w:tcPr>
          <w:p w:rsidR="00636B09" w:rsidRDefault="00636B09" w:rsidP="00A86F46">
            <w:pPr>
              <w:jc w:val="center"/>
            </w:pPr>
          </w:p>
        </w:tc>
        <w:tc>
          <w:tcPr>
            <w:tcW w:w="3101" w:type="dxa"/>
            <w:gridSpan w:val="2"/>
            <w:vMerge/>
          </w:tcPr>
          <w:p w:rsidR="00636B09" w:rsidRDefault="00636B09" w:rsidP="00A86F46">
            <w:pPr>
              <w:jc w:val="both"/>
            </w:pPr>
          </w:p>
        </w:tc>
        <w:tc>
          <w:tcPr>
            <w:tcW w:w="3130" w:type="dxa"/>
            <w:gridSpan w:val="2"/>
          </w:tcPr>
          <w:p w:rsidR="00636B09" w:rsidRDefault="00636B09" w:rsidP="00A86F46">
            <w:pPr>
              <w:jc w:val="both"/>
            </w:pPr>
            <w:r>
              <w:t>Atnaujinimo (modernizavimo) projekto įgyvendinimui administruoti.</w:t>
            </w:r>
          </w:p>
        </w:tc>
      </w:tr>
      <w:tr w:rsidR="00636B09" w:rsidTr="003C11CF">
        <w:tc>
          <w:tcPr>
            <w:tcW w:w="846" w:type="dxa"/>
            <w:vMerge/>
          </w:tcPr>
          <w:p w:rsidR="00636B09" w:rsidRDefault="00636B09" w:rsidP="00A86F46">
            <w:pPr>
              <w:jc w:val="center"/>
            </w:pPr>
          </w:p>
        </w:tc>
        <w:tc>
          <w:tcPr>
            <w:tcW w:w="2551" w:type="dxa"/>
            <w:vMerge/>
          </w:tcPr>
          <w:p w:rsidR="00636B09" w:rsidRDefault="00636B09" w:rsidP="00A86F46">
            <w:pPr>
              <w:jc w:val="center"/>
            </w:pPr>
          </w:p>
        </w:tc>
        <w:tc>
          <w:tcPr>
            <w:tcW w:w="3101" w:type="dxa"/>
            <w:gridSpan w:val="2"/>
            <w:vAlign w:val="center"/>
          </w:tcPr>
          <w:p w:rsidR="00636B09" w:rsidRDefault="00636B09" w:rsidP="008578A3">
            <w:pPr>
              <w:jc w:val="center"/>
            </w:pPr>
            <w:r>
              <w:t>30 procentų kompensacija įgyvendinus projektą</w:t>
            </w:r>
          </w:p>
        </w:tc>
        <w:tc>
          <w:tcPr>
            <w:tcW w:w="3130" w:type="dxa"/>
            <w:gridSpan w:val="2"/>
          </w:tcPr>
          <w:p w:rsidR="00636B09" w:rsidRDefault="00636B09" w:rsidP="008578A3">
            <w:pPr>
              <w:jc w:val="both"/>
            </w:pPr>
            <w:r>
              <w:t>Energinį efektyvumą didinančios priemonės, nurodytos Programos priede.</w:t>
            </w:r>
          </w:p>
        </w:tc>
      </w:tr>
      <w:tr w:rsidR="00636B09" w:rsidTr="003C11CF">
        <w:tc>
          <w:tcPr>
            <w:tcW w:w="846" w:type="dxa"/>
            <w:vMerge/>
          </w:tcPr>
          <w:p w:rsidR="00636B09" w:rsidRDefault="00636B09" w:rsidP="00A86F46">
            <w:pPr>
              <w:jc w:val="center"/>
            </w:pPr>
          </w:p>
        </w:tc>
        <w:tc>
          <w:tcPr>
            <w:tcW w:w="2551" w:type="dxa"/>
            <w:vMerge/>
          </w:tcPr>
          <w:p w:rsidR="00636B09" w:rsidRDefault="00636B09" w:rsidP="00A86F46">
            <w:pPr>
              <w:jc w:val="center"/>
            </w:pPr>
          </w:p>
        </w:tc>
        <w:tc>
          <w:tcPr>
            <w:tcW w:w="3101" w:type="dxa"/>
            <w:gridSpan w:val="2"/>
            <w:vMerge w:val="restart"/>
            <w:vAlign w:val="center"/>
          </w:tcPr>
          <w:p w:rsidR="00636B09" w:rsidRPr="008A3282" w:rsidRDefault="00636B09" w:rsidP="008578A3">
            <w:pPr>
              <w:jc w:val="center"/>
              <w:rPr>
                <w:i/>
              </w:rPr>
            </w:pPr>
            <w:r>
              <w:t>10 procentų papildoma kompensacija įgyvendinus projektą</w:t>
            </w:r>
          </w:p>
        </w:tc>
        <w:tc>
          <w:tcPr>
            <w:tcW w:w="3130" w:type="dxa"/>
            <w:gridSpan w:val="2"/>
          </w:tcPr>
          <w:p w:rsidR="00636B09" w:rsidRDefault="00636B09" w:rsidP="008578A3">
            <w:pPr>
              <w:jc w:val="both"/>
            </w:pPr>
            <w:r>
              <w:t>Daugiabučiame name įrengus atskirą ar modernizavus esamą neautomatizuotą šilumos punktą ir įrengus balansinius ventilius ant stovų.</w:t>
            </w:r>
          </w:p>
        </w:tc>
      </w:tr>
      <w:tr w:rsidR="00636B09" w:rsidTr="003C11CF">
        <w:tc>
          <w:tcPr>
            <w:tcW w:w="846" w:type="dxa"/>
            <w:vMerge/>
          </w:tcPr>
          <w:p w:rsidR="00636B09" w:rsidRDefault="00636B09" w:rsidP="00A86F46">
            <w:pPr>
              <w:jc w:val="center"/>
            </w:pPr>
          </w:p>
        </w:tc>
        <w:tc>
          <w:tcPr>
            <w:tcW w:w="2551" w:type="dxa"/>
            <w:vMerge/>
          </w:tcPr>
          <w:p w:rsidR="00636B09" w:rsidRDefault="00636B09" w:rsidP="00A86F46">
            <w:pPr>
              <w:jc w:val="center"/>
            </w:pPr>
          </w:p>
        </w:tc>
        <w:tc>
          <w:tcPr>
            <w:tcW w:w="3101" w:type="dxa"/>
            <w:gridSpan w:val="2"/>
            <w:vMerge/>
          </w:tcPr>
          <w:p w:rsidR="00636B09" w:rsidRDefault="00636B09" w:rsidP="00A86F46">
            <w:pPr>
              <w:jc w:val="both"/>
            </w:pPr>
          </w:p>
        </w:tc>
        <w:tc>
          <w:tcPr>
            <w:tcW w:w="3130" w:type="dxa"/>
            <w:gridSpan w:val="2"/>
          </w:tcPr>
          <w:p w:rsidR="00636B09" w:rsidRDefault="00636B09" w:rsidP="008578A3">
            <w:pPr>
              <w:jc w:val="both"/>
            </w:pPr>
            <w:r>
              <w:t>Pertvarkius ar pakeitus šildymo sistemą, butuose ir kitose patalpose įrengiant individualios šilumos apskaitos prietaisus ar daliklių sistemą ir (ar) termostatinius ventilius.</w:t>
            </w:r>
          </w:p>
        </w:tc>
      </w:tr>
      <w:tr w:rsidR="00636B09" w:rsidTr="003C11CF">
        <w:tc>
          <w:tcPr>
            <w:tcW w:w="846" w:type="dxa"/>
            <w:vMerge/>
          </w:tcPr>
          <w:p w:rsidR="00636B09" w:rsidRDefault="00636B09" w:rsidP="00A86F46">
            <w:pPr>
              <w:jc w:val="center"/>
            </w:pPr>
          </w:p>
        </w:tc>
        <w:tc>
          <w:tcPr>
            <w:tcW w:w="2551" w:type="dxa"/>
            <w:vMerge/>
          </w:tcPr>
          <w:p w:rsidR="00636B09" w:rsidRDefault="00636B09" w:rsidP="00A86F46">
            <w:pPr>
              <w:jc w:val="center"/>
            </w:pPr>
          </w:p>
        </w:tc>
        <w:tc>
          <w:tcPr>
            <w:tcW w:w="6231" w:type="dxa"/>
            <w:gridSpan w:val="4"/>
          </w:tcPr>
          <w:p w:rsidR="00636B09" w:rsidRDefault="00636B09" w:rsidP="00A86F46">
            <w:pPr>
              <w:jc w:val="both"/>
            </w:pPr>
            <w:r>
              <w:t>Lietuvos Respublikos piniginės socialinės paramos nepasiturintiems gyventojams įstatymo nustatyta tvarka apmokant kiekvieno mėnesio kredito, paimto daugiabučio namo atnaujinimo (modernizavimo) projektui įgyvendinti, ir palūkanų įmokas, tenkančias daugiabučio namo buto savininkui, turinčiam teisę į būsto šildymo išlaidų kompensaciją.</w:t>
            </w:r>
          </w:p>
        </w:tc>
      </w:tr>
      <w:tr w:rsidR="008D4592" w:rsidTr="00FC6066">
        <w:tc>
          <w:tcPr>
            <w:tcW w:w="846" w:type="dxa"/>
            <w:tcBorders>
              <w:bottom w:val="single" w:sz="4" w:space="0" w:color="auto"/>
            </w:tcBorders>
          </w:tcPr>
          <w:p w:rsidR="008D4592" w:rsidRPr="00C759C8" w:rsidRDefault="008D4592" w:rsidP="00831435">
            <w:pPr>
              <w:jc w:val="both"/>
              <w:rPr>
                <w:i/>
              </w:rPr>
            </w:pPr>
          </w:p>
        </w:tc>
        <w:tc>
          <w:tcPr>
            <w:tcW w:w="8782" w:type="dxa"/>
            <w:gridSpan w:val="5"/>
          </w:tcPr>
          <w:p w:rsidR="008D4592" w:rsidRPr="00C759C8" w:rsidRDefault="008D4592" w:rsidP="00831435">
            <w:pPr>
              <w:jc w:val="both"/>
              <w:rPr>
                <w:i/>
              </w:rPr>
            </w:pPr>
            <w:r w:rsidRPr="00C759C8">
              <w:rPr>
                <w:i/>
              </w:rPr>
              <w:t>Valstybės parama (išskyrus valstybės paramą</w:t>
            </w:r>
            <w:r>
              <w:rPr>
                <w:i/>
              </w:rPr>
              <w:t xml:space="preserve">, </w:t>
            </w:r>
            <w:r w:rsidRPr="00831435">
              <w:rPr>
                <w:i/>
              </w:rPr>
              <w:t>teikiamą pagal Lietuvos Respublikos piniginės socialinės paramos nepasiturintiems gyventojams įstatymą</w:t>
            </w:r>
            <w:r w:rsidRPr="00C759C8">
              <w:rPr>
                <w:i/>
              </w:rPr>
              <w:t xml:space="preserve"> nepasiturintiems gyventojams) teikiama</w:t>
            </w:r>
            <w:r>
              <w:rPr>
                <w:i/>
              </w:rPr>
              <w:t xml:space="preserve"> Pareiškėjui </w:t>
            </w:r>
            <w:r w:rsidRPr="00C759C8">
              <w:rPr>
                <w:i/>
              </w:rPr>
              <w:t>pasirašius valstybės paramos sutartį</w:t>
            </w:r>
            <w:r>
              <w:rPr>
                <w:i/>
              </w:rPr>
              <w:t xml:space="preserve"> su Agentūra.</w:t>
            </w:r>
          </w:p>
        </w:tc>
      </w:tr>
      <w:tr w:rsidR="003C11CF" w:rsidTr="003C11CF">
        <w:tc>
          <w:tcPr>
            <w:tcW w:w="846" w:type="dxa"/>
            <w:vMerge w:val="restart"/>
          </w:tcPr>
          <w:p w:rsidR="003C11CF" w:rsidRDefault="003C11CF" w:rsidP="003555DA">
            <w:pPr>
              <w:jc w:val="center"/>
              <w:rPr>
                <w:b/>
              </w:rPr>
            </w:pPr>
          </w:p>
          <w:p w:rsidR="003C11CF" w:rsidRDefault="003C11CF" w:rsidP="003555DA">
            <w:pPr>
              <w:jc w:val="center"/>
              <w:rPr>
                <w:b/>
              </w:rPr>
            </w:pPr>
          </w:p>
          <w:p w:rsidR="003C11CF" w:rsidRDefault="003C11CF" w:rsidP="003555DA">
            <w:pPr>
              <w:jc w:val="center"/>
              <w:rPr>
                <w:b/>
              </w:rPr>
            </w:pPr>
          </w:p>
          <w:p w:rsidR="00784085" w:rsidRDefault="00784085" w:rsidP="003555DA">
            <w:pPr>
              <w:jc w:val="center"/>
              <w:rPr>
                <w:b/>
              </w:rPr>
            </w:pPr>
          </w:p>
          <w:p w:rsidR="00784085" w:rsidRDefault="00784085" w:rsidP="003555DA">
            <w:pPr>
              <w:jc w:val="center"/>
              <w:rPr>
                <w:b/>
              </w:rPr>
            </w:pPr>
          </w:p>
          <w:p w:rsidR="00784085" w:rsidRDefault="00784085" w:rsidP="003555DA">
            <w:pPr>
              <w:jc w:val="center"/>
              <w:rPr>
                <w:b/>
              </w:rPr>
            </w:pPr>
          </w:p>
          <w:p w:rsidR="00784085" w:rsidRDefault="00784085" w:rsidP="003555DA">
            <w:pPr>
              <w:jc w:val="center"/>
              <w:rPr>
                <w:b/>
              </w:rPr>
            </w:pPr>
          </w:p>
          <w:p w:rsidR="003C11CF" w:rsidRDefault="003C11CF" w:rsidP="003555DA">
            <w:pPr>
              <w:jc w:val="center"/>
              <w:rPr>
                <w:b/>
              </w:rPr>
            </w:pPr>
            <w:r>
              <w:rPr>
                <w:b/>
              </w:rPr>
              <w:t>9.</w:t>
            </w:r>
          </w:p>
          <w:p w:rsidR="003C11CF" w:rsidRDefault="003C11CF" w:rsidP="003555DA">
            <w:pPr>
              <w:jc w:val="center"/>
              <w:rPr>
                <w:b/>
              </w:rPr>
            </w:pPr>
          </w:p>
          <w:p w:rsidR="003C11CF" w:rsidRDefault="003C11CF" w:rsidP="003555DA">
            <w:pPr>
              <w:jc w:val="center"/>
              <w:rPr>
                <w:b/>
              </w:rPr>
            </w:pPr>
          </w:p>
          <w:p w:rsidR="003C11CF" w:rsidRDefault="003C11CF" w:rsidP="003555DA">
            <w:pPr>
              <w:jc w:val="center"/>
              <w:rPr>
                <w:b/>
              </w:rPr>
            </w:pPr>
          </w:p>
          <w:p w:rsidR="003C11CF" w:rsidRDefault="003C11CF" w:rsidP="003555DA">
            <w:pPr>
              <w:jc w:val="center"/>
              <w:rPr>
                <w:b/>
              </w:rPr>
            </w:pPr>
          </w:p>
          <w:p w:rsidR="003C11CF" w:rsidRDefault="003C11CF" w:rsidP="003555DA">
            <w:pPr>
              <w:jc w:val="center"/>
              <w:rPr>
                <w:b/>
              </w:rPr>
            </w:pPr>
          </w:p>
          <w:p w:rsidR="003C11CF" w:rsidRDefault="003C11CF" w:rsidP="003555DA">
            <w:pPr>
              <w:jc w:val="center"/>
              <w:rPr>
                <w:b/>
              </w:rPr>
            </w:pPr>
          </w:p>
          <w:p w:rsidR="003C11CF" w:rsidRDefault="003C11CF" w:rsidP="003555DA">
            <w:pPr>
              <w:jc w:val="center"/>
              <w:rPr>
                <w:b/>
              </w:rPr>
            </w:pPr>
          </w:p>
          <w:p w:rsidR="003C11CF" w:rsidRDefault="003C11CF" w:rsidP="003555DA">
            <w:pPr>
              <w:jc w:val="center"/>
              <w:rPr>
                <w:b/>
              </w:rPr>
            </w:pPr>
          </w:p>
          <w:p w:rsidR="003C11CF" w:rsidRDefault="003C11CF" w:rsidP="003555DA">
            <w:pPr>
              <w:jc w:val="center"/>
              <w:rPr>
                <w:b/>
              </w:rPr>
            </w:pPr>
          </w:p>
          <w:p w:rsidR="003C11CF" w:rsidRDefault="003C11CF" w:rsidP="003555DA">
            <w:pPr>
              <w:jc w:val="center"/>
              <w:rPr>
                <w:b/>
              </w:rPr>
            </w:pPr>
          </w:p>
          <w:p w:rsidR="003C11CF" w:rsidRPr="001D2B58" w:rsidRDefault="003C11CF" w:rsidP="001D2B58"/>
          <w:p w:rsidR="003C11CF" w:rsidRPr="001D2B58" w:rsidRDefault="003C11CF" w:rsidP="001D2B58"/>
          <w:p w:rsidR="003C11CF" w:rsidRPr="001D2B58" w:rsidRDefault="003C11CF" w:rsidP="001D2B58"/>
          <w:p w:rsidR="003C11CF" w:rsidRPr="001D2B58" w:rsidRDefault="003C11CF" w:rsidP="001D2B58"/>
          <w:p w:rsidR="003C11CF" w:rsidRPr="001D2B58" w:rsidRDefault="003C11CF" w:rsidP="001D2B58"/>
          <w:p w:rsidR="003C11CF" w:rsidRPr="001D2B58" w:rsidRDefault="003C11CF" w:rsidP="001D2B58"/>
          <w:p w:rsidR="003C11CF" w:rsidRPr="001D2B58" w:rsidRDefault="003C11CF" w:rsidP="001D2B58"/>
          <w:p w:rsidR="003C11CF" w:rsidRPr="001D2B58" w:rsidRDefault="003C11CF" w:rsidP="001D2B58"/>
          <w:p w:rsidR="003C11CF" w:rsidRDefault="003C11CF" w:rsidP="001D2B58"/>
          <w:p w:rsidR="003C11CF" w:rsidRDefault="003C11CF" w:rsidP="00F354B6">
            <w:pPr>
              <w:jc w:val="center"/>
              <w:rPr>
                <w:b/>
              </w:rPr>
            </w:pPr>
          </w:p>
          <w:p w:rsidR="003C11CF" w:rsidRDefault="003C11CF" w:rsidP="00F354B6">
            <w:pPr>
              <w:jc w:val="center"/>
              <w:rPr>
                <w:b/>
              </w:rPr>
            </w:pPr>
          </w:p>
          <w:p w:rsidR="003C11CF" w:rsidRDefault="003C11CF" w:rsidP="00F354B6">
            <w:pPr>
              <w:jc w:val="center"/>
              <w:rPr>
                <w:b/>
              </w:rPr>
            </w:pPr>
          </w:p>
          <w:p w:rsidR="003C11CF" w:rsidRDefault="003C11CF" w:rsidP="00F354B6">
            <w:pPr>
              <w:jc w:val="center"/>
              <w:rPr>
                <w:b/>
              </w:rPr>
            </w:pPr>
          </w:p>
          <w:p w:rsidR="003C11CF" w:rsidRDefault="003C11CF" w:rsidP="00F354B6">
            <w:pPr>
              <w:jc w:val="center"/>
              <w:rPr>
                <w:b/>
              </w:rPr>
            </w:pPr>
          </w:p>
          <w:p w:rsidR="003C11CF" w:rsidRDefault="003C11CF" w:rsidP="003555DA">
            <w:pPr>
              <w:jc w:val="center"/>
              <w:rPr>
                <w:b/>
              </w:rPr>
            </w:pPr>
          </w:p>
          <w:p w:rsidR="003C11CF" w:rsidRDefault="003C11CF" w:rsidP="001019F0">
            <w:pPr>
              <w:rPr>
                <w:b/>
              </w:rPr>
            </w:pPr>
          </w:p>
        </w:tc>
        <w:tc>
          <w:tcPr>
            <w:tcW w:w="2551" w:type="dxa"/>
            <w:vMerge w:val="restart"/>
            <w:vAlign w:val="center"/>
          </w:tcPr>
          <w:p w:rsidR="003C11CF" w:rsidRPr="00F51EE5" w:rsidRDefault="003C11CF" w:rsidP="00024CD3">
            <w:pPr>
              <w:jc w:val="center"/>
              <w:rPr>
                <w:b/>
              </w:rPr>
            </w:pPr>
            <w:r>
              <w:rPr>
                <w:b/>
              </w:rPr>
              <w:lastRenderedPageBreak/>
              <w:t>Paraiškų vertinimas ir atranka</w:t>
            </w:r>
          </w:p>
        </w:tc>
        <w:tc>
          <w:tcPr>
            <w:tcW w:w="6231" w:type="dxa"/>
            <w:gridSpan w:val="4"/>
          </w:tcPr>
          <w:p w:rsidR="003C11CF" w:rsidRDefault="003C11CF" w:rsidP="000B2648">
            <w:pPr>
              <w:jc w:val="both"/>
            </w:pPr>
            <w:r>
              <w:t>1. Paraiškos vertinamos ir atrenkamos Paraiškų atnaujinti (modernizuoti) daugiabutį namą teikimo, vertinimo ir atrankos tvarkos aprašo, patvirtinto Lietuvos Respublikos aplinkos ministro 2015 m. balandžio 1 d. įsakymu Nr. D1-267 „Dėl Paraiškų atnaujinti (modernizuoti) daugiabutį namą teikimo, vertinimo ir atrankos tvarkos aprašo patvirtinimo“, nustatyta tvarka.</w:t>
            </w:r>
          </w:p>
        </w:tc>
      </w:tr>
      <w:tr w:rsidR="003C11CF" w:rsidTr="003C11CF">
        <w:tc>
          <w:tcPr>
            <w:tcW w:w="846" w:type="dxa"/>
            <w:vMerge/>
          </w:tcPr>
          <w:p w:rsidR="003C11CF" w:rsidRDefault="003C11CF" w:rsidP="001019F0">
            <w:pPr>
              <w:rPr>
                <w:b/>
              </w:rPr>
            </w:pPr>
          </w:p>
        </w:tc>
        <w:tc>
          <w:tcPr>
            <w:tcW w:w="2551" w:type="dxa"/>
            <w:vMerge/>
          </w:tcPr>
          <w:p w:rsidR="003C11CF" w:rsidRDefault="003C11CF" w:rsidP="003555DA">
            <w:pPr>
              <w:jc w:val="center"/>
              <w:rPr>
                <w:b/>
              </w:rPr>
            </w:pPr>
          </w:p>
        </w:tc>
        <w:tc>
          <w:tcPr>
            <w:tcW w:w="6231" w:type="dxa"/>
            <w:gridSpan w:val="4"/>
          </w:tcPr>
          <w:p w:rsidR="003C11CF" w:rsidRDefault="003C11CF" w:rsidP="0000589F">
            <w:pPr>
              <w:jc w:val="both"/>
            </w:pPr>
            <w:r>
              <w:t xml:space="preserve">2. Jeigu per kvietime nurodytą terminą pateikta paraiškų, kurių bendra investicijų ir (ar) valstybės paramos lėšų suma viršija kvietimo lėšų sumą, taikomas </w:t>
            </w:r>
            <w:r w:rsidRPr="008475D6">
              <w:t>konkursinis</w:t>
            </w:r>
            <w:r>
              <w:t xml:space="preserve"> paraiškų atrankos būdas. Šiuo atveju paraiškos atrenkamos pagal šiuos kriterijus:</w:t>
            </w:r>
          </w:p>
        </w:tc>
      </w:tr>
      <w:tr w:rsidR="003C11CF" w:rsidTr="003C11CF">
        <w:tc>
          <w:tcPr>
            <w:tcW w:w="846" w:type="dxa"/>
            <w:vMerge/>
          </w:tcPr>
          <w:p w:rsidR="003C11CF" w:rsidRDefault="003C11CF" w:rsidP="001019F0">
            <w:pPr>
              <w:rPr>
                <w:b/>
              </w:rPr>
            </w:pPr>
          </w:p>
        </w:tc>
        <w:tc>
          <w:tcPr>
            <w:tcW w:w="2551" w:type="dxa"/>
            <w:vMerge/>
          </w:tcPr>
          <w:p w:rsidR="003C11CF" w:rsidRDefault="003C11CF" w:rsidP="003555DA">
            <w:pPr>
              <w:jc w:val="center"/>
              <w:rPr>
                <w:b/>
              </w:rPr>
            </w:pPr>
          </w:p>
        </w:tc>
        <w:tc>
          <w:tcPr>
            <w:tcW w:w="2263" w:type="dxa"/>
          </w:tcPr>
          <w:p w:rsidR="003C11CF" w:rsidRDefault="003C11CF" w:rsidP="003555DA">
            <w:pPr>
              <w:jc w:val="both"/>
            </w:pPr>
            <w:r>
              <w:t>2.1. prioritetinis kriterijus</w:t>
            </w:r>
          </w:p>
        </w:tc>
        <w:tc>
          <w:tcPr>
            <w:tcW w:w="3968" w:type="dxa"/>
            <w:gridSpan w:val="3"/>
          </w:tcPr>
          <w:p w:rsidR="003C11CF" w:rsidRPr="00386D6F" w:rsidRDefault="003C11CF" w:rsidP="006B44CC">
            <w:pPr>
              <w:jc w:val="both"/>
              <w:rPr>
                <w:i/>
              </w:rPr>
            </w:pPr>
            <w:r w:rsidRPr="00386D6F">
              <w:rPr>
                <w:i/>
              </w:rPr>
              <w:t>Kvartalo energinio efektyvumo didinimas</w:t>
            </w:r>
            <w:r>
              <w:rPr>
                <w:i/>
              </w:rPr>
              <w:t xml:space="preserve"> </w:t>
            </w:r>
            <w:r w:rsidRPr="006B44CC">
              <w:t>(</w:t>
            </w:r>
            <w:r w:rsidRPr="000857C6">
              <w:t>teikiamos paraiškos turi būti į</w:t>
            </w:r>
            <w:r w:rsidR="00D0594B">
              <w:t>rašy</w:t>
            </w:r>
            <w:r w:rsidRPr="000857C6">
              <w:t>tos į savivaldybės parengtą</w:t>
            </w:r>
            <w:r w:rsidRPr="000857C6">
              <w:rPr>
                <w:i/>
              </w:rPr>
              <w:t xml:space="preserve"> </w:t>
            </w:r>
            <w:r w:rsidRPr="000857C6">
              <w:t xml:space="preserve">Kvartalų energinio efektyvumo </w:t>
            </w:r>
            <w:r w:rsidRPr="000857C6">
              <w:lastRenderedPageBreak/>
              <w:t xml:space="preserve">didinimo programą, </w:t>
            </w:r>
            <w:r w:rsidR="00837A05">
              <w:t>patvirtintą</w:t>
            </w:r>
            <w:r w:rsidRPr="000857C6">
              <w:t xml:space="preserve"> Lietuvos Respublikos Vyriausybės 2016 m. birželio 1 d. nutarim</w:t>
            </w:r>
            <w:r w:rsidR="00837A05">
              <w:t>u</w:t>
            </w:r>
            <w:r w:rsidRPr="000857C6">
              <w:t xml:space="preserve"> Nr. 547 „Dėl Kvartalų energinio efektyvumo didinimo programų rengimo ir įgyvendinimo tvarkos aprašo patvirtinimo“ (toliau – Kvartalų programa). </w:t>
            </w:r>
          </w:p>
        </w:tc>
      </w:tr>
      <w:tr w:rsidR="003C11CF" w:rsidTr="003C11CF">
        <w:tc>
          <w:tcPr>
            <w:tcW w:w="846" w:type="dxa"/>
            <w:vMerge/>
          </w:tcPr>
          <w:p w:rsidR="003C11CF" w:rsidRDefault="003C11CF" w:rsidP="001019F0">
            <w:pPr>
              <w:rPr>
                <w:b/>
              </w:rPr>
            </w:pPr>
          </w:p>
        </w:tc>
        <w:tc>
          <w:tcPr>
            <w:tcW w:w="2551" w:type="dxa"/>
            <w:vMerge/>
          </w:tcPr>
          <w:p w:rsidR="003C11CF" w:rsidRDefault="003C11CF" w:rsidP="003555DA">
            <w:pPr>
              <w:jc w:val="center"/>
              <w:rPr>
                <w:b/>
              </w:rPr>
            </w:pPr>
          </w:p>
        </w:tc>
        <w:tc>
          <w:tcPr>
            <w:tcW w:w="6231" w:type="dxa"/>
            <w:gridSpan w:val="4"/>
          </w:tcPr>
          <w:p w:rsidR="003C11CF" w:rsidRDefault="003C11CF" w:rsidP="00D74A15">
            <w:pPr>
              <w:jc w:val="center"/>
            </w:pPr>
            <w:r>
              <w:t>Prioritetinio kriterijaus balo apskaičiavimo tvarka</w:t>
            </w:r>
          </w:p>
        </w:tc>
      </w:tr>
      <w:tr w:rsidR="003C11CF" w:rsidTr="003C11CF">
        <w:tc>
          <w:tcPr>
            <w:tcW w:w="846" w:type="dxa"/>
            <w:vMerge/>
          </w:tcPr>
          <w:p w:rsidR="003C11CF" w:rsidRDefault="003C11CF" w:rsidP="001019F0">
            <w:pPr>
              <w:rPr>
                <w:b/>
              </w:rPr>
            </w:pPr>
          </w:p>
        </w:tc>
        <w:tc>
          <w:tcPr>
            <w:tcW w:w="2551" w:type="dxa"/>
            <w:vMerge/>
          </w:tcPr>
          <w:p w:rsidR="003C11CF" w:rsidRDefault="003C11CF" w:rsidP="003555DA">
            <w:pPr>
              <w:jc w:val="center"/>
              <w:rPr>
                <w:b/>
              </w:rPr>
            </w:pPr>
          </w:p>
        </w:tc>
        <w:tc>
          <w:tcPr>
            <w:tcW w:w="2263" w:type="dxa"/>
            <w:vAlign w:val="center"/>
          </w:tcPr>
          <w:p w:rsidR="003C11CF" w:rsidRDefault="003C11CF" w:rsidP="00333973">
            <w:pPr>
              <w:jc w:val="center"/>
            </w:pPr>
            <w:r>
              <w:t>Kvartalo aktyvumas</w:t>
            </w:r>
          </w:p>
        </w:tc>
        <w:tc>
          <w:tcPr>
            <w:tcW w:w="3968" w:type="dxa"/>
            <w:gridSpan w:val="3"/>
          </w:tcPr>
          <w:p w:rsidR="003C11CF" w:rsidRPr="0082385E" w:rsidRDefault="003C11CF" w:rsidP="003555DA">
            <w:pPr>
              <w:jc w:val="both"/>
            </w:pPr>
            <w:r w:rsidRPr="0082385E">
              <w:t>K</w:t>
            </w:r>
            <w:r w:rsidRPr="0082385E">
              <w:rPr>
                <w:vertAlign w:val="subscript"/>
              </w:rPr>
              <w:t>1</w:t>
            </w:r>
            <w:r w:rsidRPr="0082385E">
              <w:t xml:space="preserve"> = DN</w:t>
            </w:r>
            <w:r w:rsidRPr="0082385E">
              <w:rPr>
                <w:vertAlign w:val="subscript"/>
              </w:rPr>
              <w:t>s</w:t>
            </w:r>
            <w:r w:rsidRPr="0082385E">
              <w:t xml:space="preserve"> / DN</w:t>
            </w:r>
            <w:r w:rsidRPr="0082385E">
              <w:rPr>
                <w:rFonts w:cs="Times New Roman"/>
                <w:vertAlign w:val="subscript"/>
              </w:rPr>
              <w:t>KS</w:t>
            </w:r>
            <w:r w:rsidRPr="0082385E">
              <w:rPr>
                <w:rFonts w:cs="Times New Roman"/>
              </w:rPr>
              <w:t xml:space="preserve"> + 1</w:t>
            </w:r>
            <w:r>
              <w:rPr>
                <w:rFonts w:cs="Times New Roman"/>
              </w:rPr>
              <w:t>, kai</w:t>
            </w:r>
          </w:p>
          <w:p w:rsidR="003C11CF" w:rsidRPr="0082385E" w:rsidRDefault="003C11CF" w:rsidP="003555DA">
            <w:pPr>
              <w:jc w:val="both"/>
            </w:pPr>
          </w:p>
          <w:p w:rsidR="003C11CF" w:rsidRPr="0082385E" w:rsidRDefault="003C11CF" w:rsidP="003555DA">
            <w:pPr>
              <w:jc w:val="both"/>
            </w:pPr>
            <w:r w:rsidRPr="0082385E">
              <w:t>K</w:t>
            </w:r>
            <w:r w:rsidRPr="0082385E">
              <w:rPr>
                <w:vertAlign w:val="subscript"/>
              </w:rPr>
              <w:t>1</w:t>
            </w:r>
            <w:r w:rsidRPr="0082385E">
              <w:t xml:space="preserve"> – kvartalo atnaujinimo (modernizavimo) aktyvumo koeficientas;</w:t>
            </w:r>
          </w:p>
          <w:p w:rsidR="003C11CF" w:rsidRPr="0082385E" w:rsidRDefault="003C11CF" w:rsidP="003555DA">
            <w:pPr>
              <w:jc w:val="both"/>
            </w:pPr>
            <w:r w:rsidRPr="0082385E">
              <w:t>DN</w:t>
            </w:r>
            <w:r w:rsidRPr="0082385E">
              <w:rPr>
                <w:vertAlign w:val="subscript"/>
              </w:rPr>
              <w:t>s</w:t>
            </w:r>
            <w:r w:rsidRPr="0082385E">
              <w:t xml:space="preserve"> – kvartale esančių daugiabučių namų, kuriems parengti ir kvietimo metu pateikti daugiabučio namo atnaujinimo (modernizavimo) investicijų planai, skaičius (įskaitant kvartale esančius jau atnaujintus (modernizuotus) daugiabučius namus);</w:t>
            </w:r>
          </w:p>
          <w:p w:rsidR="003C11CF" w:rsidRPr="0082385E" w:rsidRDefault="003C11CF" w:rsidP="009212D6">
            <w:pPr>
              <w:jc w:val="both"/>
              <w:rPr>
                <w:rFonts w:cs="Times New Roman"/>
              </w:rPr>
            </w:pPr>
            <w:r w:rsidRPr="0082385E">
              <w:t>DN</w:t>
            </w:r>
            <w:r w:rsidRPr="0082385E">
              <w:rPr>
                <w:rFonts w:cs="Times New Roman"/>
                <w:vertAlign w:val="subscript"/>
              </w:rPr>
              <w:t>KS</w:t>
            </w:r>
            <w:r w:rsidRPr="0082385E">
              <w:rPr>
                <w:rFonts w:cs="Times New Roman"/>
              </w:rPr>
              <w:t xml:space="preserve"> – kvartale esančių daugiabučių namų skaičius</w:t>
            </w:r>
          </w:p>
          <w:p w:rsidR="003C11CF" w:rsidRPr="00C873E1" w:rsidRDefault="003C11CF" w:rsidP="00A11F02">
            <w:pPr>
              <w:jc w:val="both"/>
            </w:pPr>
            <w:r w:rsidRPr="0082385E">
              <w:rPr>
                <w:rFonts w:cs="Times New Roman"/>
                <w:b/>
              </w:rPr>
              <w:t>Pastaba:</w:t>
            </w:r>
            <w:r w:rsidRPr="0082385E">
              <w:rPr>
                <w:rFonts w:cs="Times New Roman"/>
              </w:rPr>
              <w:t xml:space="preserve"> jeigu K</w:t>
            </w:r>
            <w:r w:rsidRPr="0082385E">
              <w:rPr>
                <w:rFonts w:cs="Times New Roman"/>
                <w:vertAlign w:val="subscript"/>
              </w:rPr>
              <w:t>1</w:t>
            </w:r>
            <w:r w:rsidRPr="0082385E">
              <w:rPr>
                <w:rFonts w:cs="Times New Roman"/>
              </w:rPr>
              <w:t xml:space="preserve"> &lt; 1,25 prioritetinis </w:t>
            </w:r>
            <w:r w:rsidR="00D0594B">
              <w:rPr>
                <w:rFonts w:cs="Times New Roman"/>
              </w:rPr>
              <w:t>k</w:t>
            </w:r>
            <w:r w:rsidRPr="0082385E">
              <w:rPr>
                <w:rFonts w:cs="Times New Roman"/>
              </w:rPr>
              <w:t>vartalo energinio efektyvumo didinimo kriterijus netaikomas, o pateiktos paraiškos atrenkamos eilės tvarka pagal 2.2 ir 2.3 papunkčiuose nustatytus kriterijus</w:t>
            </w:r>
            <w:r>
              <w:rPr>
                <w:rFonts w:cs="Times New Roman"/>
              </w:rPr>
              <w:t>.</w:t>
            </w:r>
          </w:p>
        </w:tc>
      </w:tr>
      <w:tr w:rsidR="003C11CF" w:rsidTr="003C11CF">
        <w:tc>
          <w:tcPr>
            <w:tcW w:w="846" w:type="dxa"/>
            <w:vMerge/>
          </w:tcPr>
          <w:p w:rsidR="003C11CF" w:rsidRDefault="003C11CF" w:rsidP="001019F0">
            <w:pPr>
              <w:rPr>
                <w:b/>
              </w:rPr>
            </w:pPr>
          </w:p>
        </w:tc>
        <w:tc>
          <w:tcPr>
            <w:tcW w:w="2551" w:type="dxa"/>
            <w:vMerge/>
          </w:tcPr>
          <w:p w:rsidR="003C11CF" w:rsidRDefault="003C11CF" w:rsidP="003555DA">
            <w:pPr>
              <w:jc w:val="center"/>
              <w:rPr>
                <w:b/>
              </w:rPr>
            </w:pPr>
          </w:p>
        </w:tc>
        <w:tc>
          <w:tcPr>
            <w:tcW w:w="2263" w:type="dxa"/>
            <w:vAlign w:val="center"/>
          </w:tcPr>
          <w:p w:rsidR="003C11CF" w:rsidRDefault="003C11CF" w:rsidP="00333973">
            <w:pPr>
              <w:jc w:val="center"/>
            </w:pPr>
            <w:r>
              <w:t>Kvartalo efektyvumas</w:t>
            </w:r>
          </w:p>
        </w:tc>
        <w:tc>
          <w:tcPr>
            <w:tcW w:w="3968" w:type="dxa"/>
            <w:gridSpan w:val="3"/>
          </w:tcPr>
          <w:p w:rsidR="003C11CF" w:rsidRDefault="003C11CF" w:rsidP="003555DA">
            <w:pPr>
              <w:jc w:val="both"/>
              <w:rPr>
                <w:rFonts w:cs="Times New Roman"/>
              </w:rPr>
            </w:pPr>
            <w:r>
              <w:t>K</w:t>
            </w:r>
            <w:r>
              <w:rPr>
                <w:vertAlign w:val="subscript"/>
              </w:rPr>
              <w:t>2</w:t>
            </w:r>
            <w:r>
              <w:t xml:space="preserve"> = E</w:t>
            </w:r>
            <w:r>
              <w:rPr>
                <w:vertAlign w:val="subscript"/>
              </w:rPr>
              <w:t>SK</w:t>
            </w:r>
            <w:r>
              <w:t xml:space="preserve"> / E</w:t>
            </w:r>
            <w:r>
              <w:rPr>
                <w:rFonts w:cs="Times New Roman"/>
                <w:vertAlign w:val="subscript"/>
              </w:rPr>
              <w:t>∑SK</w:t>
            </w:r>
            <w:r>
              <w:rPr>
                <w:rFonts w:cs="Times New Roman"/>
              </w:rPr>
              <w:t xml:space="preserve"> + 1, kai</w:t>
            </w:r>
          </w:p>
          <w:p w:rsidR="003C11CF" w:rsidRDefault="003C11CF" w:rsidP="003555DA">
            <w:pPr>
              <w:jc w:val="both"/>
              <w:rPr>
                <w:rFonts w:cs="Times New Roman"/>
              </w:rPr>
            </w:pPr>
          </w:p>
          <w:p w:rsidR="003C11CF" w:rsidRDefault="003C11CF" w:rsidP="003555DA">
            <w:pPr>
              <w:jc w:val="both"/>
            </w:pPr>
            <w:r>
              <w:rPr>
                <w:rFonts w:cs="Times New Roman"/>
              </w:rPr>
              <w:t>K</w:t>
            </w:r>
            <w:r>
              <w:rPr>
                <w:rFonts w:cs="Times New Roman"/>
                <w:vertAlign w:val="subscript"/>
              </w:rPr>
              <w:t>2</w:t>
            </w:r>
            <w:r>
              <w:rPr>
                <w:rFonts w:cs="Times New Roman"/>
              </w:rPr>
              <w:t xml:space="preserve"> – </w:t>
            </w:r>
            <w:r w:rsidR="00D0594B">
              <w:rPr>
                <w:rFonts w:cs="Times New Roman"/>
              </w:rPr>
              <w:t>k</w:t>
            </w:r>
            <w:r>
              <w:t>vartalo efektyvumo koeficientas;</w:t>
            </w:r>
          </w:p>
          <w:p w:rsidR="003C11CF" w:rsidRDefault="003C11CF" w:rsidP="0079089A">
            <w:pPr>
              <w:jc w:val="both"/>
            </w:pPr>
            <w:r>
              <w:t>E</w:t>
            </w:r>
            <w:r>
              <w:rPr>
                <w:vertAlign w:val="subscript"/>
              </w:rPr>
              <w:t>SK</w:t>
            </w:r>
            <w:r>
              <w:t xml:space="preserve"> – suminis kvartalo skaičiuojamųjų šilumos energijos sąnaudų sumažinimo dydis pagal pateiktas paraiškas;</w:t>
            </w:r>
          </w:p>
          <w:p w:rsidR="003C11CF" w:rsidRPr="0079089A" w:rsidRDefault="003C11CF" w:rsidP="009C48C8">
            <w:pPr>
              <w:jc w:val="both"/>
              <w:rPr>
                <w:vertAlign w:val="subscript"/>
              </w:rPr>
            </w:pPr>
            <w:r>
              <w:t>E</w:t>
            </w:r>
            <w:r>
              <w:rPr>
                <w:rFonts w:cs="Times New Roman"/>
                <w:vertAlign w:val="subscript"/>
              </w:rPr>
              <w:t>∑SK</w:t>
            </w:r>
            <w:r>
              <w:rPr>
                <w:rFonts w:cs="Times New Roman"/>
              </w:rPr>
              <w:t xml:space="preserve"> – suminis visų kvartalų </w:t>
            </w:r>
            <w:r>
              <w:t>skaičiuojamųjų šilumos energijos sąnaudų sumažinimo dydis pagal pateiktas paraiškas.</w:t>
            </w:r>
          </w:p>
        </w:tc>
      </w:tr>
      <w:tr w:rsidR="003C11CF" w:rsidTr="003C11CF">
        <w:tc>
          <w:tcPr>
            <w:tcW w:w="846" w:type="dxa"/>
            <w:vMerge/>
          </w:tcPr>
          <w:p w:rsidR="003C11CF" w:rsidRPr="001D2B58" w:rsidRDefault="003C11CF" w:rsidP="001019F0"/>
        </w:tc>
        <w:tc>
          <w:tcPr>
            <w:tcW w:w="2551" w:type="dxa"/>
            <w:vMerge/>
          </w:tcPr>
          <w:p w:rsidR="003C11CF" w:rsidRDefault="003C11CF" w:rsidP="003555DA">
            <w:pPr>
              <w:jc w:val="center"/>
              <w:rPr>
                <w:b/>
              </w:rPr>
            </w:pPr>
          </w:p>
        </w:tc>
        <w:tc>
          <w:tcPr>
            <w:tcW w:w="2263" w:type="dxa"/>
            <w:vAlign w:val="center"/>
          </w:tcPr>
          <w:p w:rsidR="003C11CF" w:rsidRDefault="003C11CF" w:rsidP="00333973">
            <w:pPr>
              <w:jc w:val="center"/>
            </w:pPr>
            <w:r>
              <w:t>Kvartalo aplinkosauga</w:t>
            </w:r>
          </w:p>
        </w:tc>
        <w:tc>
          <w:tcPr>
            <w:tcW w:w="3968" w:type="dxa"/>
            <w:gridSpan w:val="3"/>
          </w:tcPr>
          <w:p w:rsidR="003C11CF" w:rsidRDefault="003C11CF" w:rsidP="009C48C8">
            <w:pPr>
              <w:jc w:val="both"/>
              <w:rPr>
                <w:rFonts w:cs="Times New Roman"/>
              </w:rPr>
            </w:pPr>
            <w:r>
              <w:t>K</w:t>
            </w:r>
            <w:r>
              <w:rPr>
                <w:vertAlign w:val="subscript"/>
              </w:rPr>
              <w:t>3</w:t>
            </w:r>
            <w:r>
              <w:t xml:space="preserve"> = CO</w:t>
            </w:r>
            <w:r>
              <w:rPr>
                <w:vertAlign w:val="subscript"/>
              </w:rPr>
              <w:t>SK</w:t>
            </w:r>
            <w:r>
              <w:t xml:space="preserve"> / CO</w:t>
            </w:r>
            <w:r>
              <w:rPr>
                <w:rFonts w:cs="Times New Roman"/>
                <w:vertAlign w:val="subscript"/>
              </w:rPr>
              <w:t>∑SK</w:t>
            </w:r>
            <w:r>
              <w:rPr>
                <w:rFonts w:cs="Times New Roman"/>
              </w:rPr>
              <w:t xml:space="preserve"> + 1, kai</w:t>
            </w:r>
          </w:p>
          <w:p w:rsidR="003C11CF" w:rsidRDefault="003C11CF" w:rsidP="009C48C8">
            <w:pPr>
              <w:jc w:val="both"/>
              <w:rPr>
                <w:rFonts w:cs="Times New Roman"/>
              </w:rPr>
            </w:pPr>
          </w:p>
          <w:p w:rsidR="003C11CF" w:rsidRDefault="003C11CF" w:rsidP="009C48C8">
            <w:pPr>
              <w:jc w:val="both"/>
            </w:pPr>
            <w:r>
              <w:rPr>
                <w:rFonts w:cs="Times New Roman"/>
              </w:rPr>
              <w:t>K</w:t>
            </w:r>
            <w:r>
              <w:rPr>
                <w:rFonts w:cs="Times New Roman"/>
                <w:vertAlign w:val="subscript"/>
              </w:rPr>
              <w:t>3</w:t>
            </w:r>
            <w:r>
              <w:rPr>
                <w:rFonts w:cs="Times New Roman"/>
              </w:rPr>
              <w:t xml:space="preserve"> – </w:t>
            </w:r>
            <w:r>
              <w:t>kvartalo aplinkosaugos koeficientas;</w:t>
            </w:r>
          </w:p>
          <w:p w:rsidR="003C11CF" w:rsidRDefault="003C11CF" w:rsidP="009C48C8">
            <w:pPr>
              <w:jc w:val="both"/>
            </w:pPr>
            <w:r>
              <w:t>CO</w:t>
            </w:r>
            <w:r>
              <w:rPr>
                <w:vertAlign w:val="subscript"/>
              </w:rPr>
              <w:t>SK</w:t>
            </w:r>
            <w:r>
              <w:t xml:space="preserve"> – suminis kvartalo šiltnamio efektą sukeliančių dujų išmetimų į atmosferą sumažinimo dydis pagal pateiktas paraiškas;</w:t>
            </w:r>
          </w:p>
          <w:p w:rsidR="003C11CF" w:rsidRDefault="003C11CF" w:rsidP="009C48C8">
            <w:pPr>
              <w:jc w:val="both"/>
            </w:pPr>
            <w:r>
              <w:rPr>
                <w:rFonts w:cs="Times New Roman"/>
              </w:rPr>
              <w:t>CO</w:t>
            </w:r>
            <w:r>
              <w:rPr>
                <w:rFonts w:cs="Times New Roman"/>
                <w:vertAlign w:val="subscript"/>
              </w:rPr>
              <w:t>∑SK</w:t>
            </w:r>
            <w:r>
              <w:rPr>
                <w:rFonts w:cs="Times New Roman"/>
              </w:rPr>
              <w:t xml:space="preserve"> – suminis visų kvartalų </w:t>
            </w:r>
            <w:r>
              <w:t>šiltnamio efektą sukeliančių dujų išmetimų į atmosferą sumažinimo dydis pagal pateiktas paraiškas.</w:t>
            </w:r>
          </w:p>
        </w:tc>
      </w:tr>
      <w:tr w:rsidR="003C11CF" w:rsidTr="003C11CF">
        <w:tc>
          <w:tcPr>
            <w:tcW w:w="846" w:type="dxa"/>
            <w:vMerge/>
          </w:tcPr>
          <w:p w:rsidR="003C11CF" w:rsidRDefault="003C11CF" w:rsidP="001019F0">
            <w:pPr>
              <w:rPr>
                <w:b/>
              </w:rPr>
            </w:pPr>
          </w:p>
        </w:tc>
        <w:tc>
          <w:tcPr>
            <w:tcW w:w="2551" w:type="dxa"/>
            <w:vMerge/>
          </w:tcPr>
          <w:p w:rsidR="003C11CF" w:rsidRDefault="003C11CF" w:rsidP="00F354B6">
            <w:pPr>
              <w:jc w:val="center"/>
              <w:rPr>
                <w:b/>
              </w:rPr>
            </w:pPr>
          </w:p>
        </w:tc>
        <w:tc>
          <w:tcPr>
            <w:tcW w:w="2263" w:type="dxa"/>
            <w:vAlign w:val="center"/>
          </w:tcPr>
          <w:p w:rsidR="003C11CF" w:rsidRDefault="003C11CF" w:rsidP="00333973">
            <w:pPr>
              <w:jc w:val="center"/>
            </w:pPr>
            <w:r>
              <w:t>Kvartalo intensyvumas</w:t>
            </w:r>
          </w:p>
        </w:tc>
        <w:tc>
          <w:tcPr>
            <w:tcW w:w="3968" w:type="dxa"/>
            <w:gridSpan w:val="3"/>
          </w:tcPr>
          <w:p w:rsidR="003C11CF" w:rsidRDefault="003C11CF" w:rsidP="003555DA">
            <w:pPr>
              <w:jc w:val="both"/>
              <w:rPr>
                <w:rFonts w:cs="Times New Roman"/>
              </w:rPr>
            </w:pPr>
            <w:r>
              <w:t>K</w:t>
            </w:r>
            <w:r>
              <w:rPr>
                <w:vertAlign w:val="subscript"/>
              </w:rPr>
              <w:t>4</w:t>
            </w:r>
            <w:r>
              <w:t xml:space="preserve"> = P</w:t>
            </w:r>
            <w:r>
              <w:rPr>
                <w:vertAlign w:val="subscript"/>
              </w:rPr>
              <w:t>SK</w:t>
            </w:r>
            <w:r>
              <w:t xml:space="preserve"> / P</w:t>
            </w:r>
            <w:r>
              <w:rPr>
                <w:rFonts w:cs="Times New Roman"/>
                <w:vertAlign w:val="subscript"/>
              </w:rPr>
              <w:t>∑SK</w:t>
            </w:r>
            <w:r>
              <w:rPr>
                <w:rFonts w:cs="Times New Roman"/>
              </w:rPr>
              <w:t xml:space="preserve"> + 1, kai</w:t>
            </w:r>
          </w:p>
          <w:p w:rsidR="003C11CF" w:rsidRDefault="003C11CF" w:rsidP="003555DA">
            <w:pPr>
              <w:jc w:val="both"/>
              <w:rPr>
                <w:rFonts w:cs="Times New Roman"/>
              </w:rPr>
            </w:pPr>
          </w:p>
          <w:p w:rsidR="003C11CF" w:rsidRDefault="003C11CF" w:rsidP="003555DA">
            <w:pPr>
              <w:jc w:val="both"/>
            </w:pPr>
            <w:r>
              <w:t>K</w:t>
            </w:r>
            <w:r>
              <w:rPr>
                <w:vertAlign w:val="subscript"/>
              </w:rPr>
              <w:t>4</w:t>
            </w:r>
            <w:r>
              <w:t xml:space="preserve"> – kvartalo intensyvumo koeficientas;</w:t>
            </w:r>
          </w:p>
          <w:p w:rsidR="003C11CF" w:rsidRDefault="003C11CF" w:rsidP="00024CD3">
            <w:pPr>
              <w:jc w:val="both"/>
            </w:pPr>
            <w:r>
              <w:t>P</w:t>
            </w:r>
            <w:r>
              <w:rPr>
                <w:vertAlign w:val="subscript"/>
              </w:rPr>
              <w:t>SK</w:t>
            </w:r>
            <w:r>
              <w:t xml:space="preserve"> – suminis kvartalo atnaujinamų (modernizuojamų) daugiabučių namų naudingojo plotas pagal pateiktas paraiškas;</w:t>
            </w:r>
          </w:p>
          <w:p w:rsidR="003C11CF" w:rsidRPr="00024CD3" w:rsidRDefault="003C11CF" w:rsidP="00333973">
            <w:pPr>
              <w:jc w:val="both"/>
            </w:pPr>
            <w:r>
              <w:t>P</w:t>
            </w:r>
            <w:r>
              <w:rPr>
                <w:rFonts w:cs="Times New Roman"/>
                <w:vertAlign w:val="subscript"/>
              </w:rPr>
              <w:t>∑SK</w:t>
            </w:r>
            <w:r>
              <w:rPr>
                <w:rFonts w:cs="Times New Roman"/>
              </w:rPr>
              <w:t xml:space="preserve"> – </w:t>
            </w:r>
            <w:r>
              <w:t>suminis visų kvartalų atnaujinamų (modernizuojamų) daugiabučių namų naudingojo plotas pagal pateiktas paraiškas.</w:t>
            </w:r>
          </w:p>
        </w:tc>
      </w:tr>
      <w:tr w:rsidR="003C11CF" w:rsidTr="003C11CF">
        <w:tc>
          <w:tcPr>
            <w:tcW w:w="846" w:type="dxa"/>
            <w:vMerge/>
          </w:tcPr>
          <w:p w:rsidR="003C11CF" w:rsidRDefault="003C11CF" w:rsidP="001019F0">
            <w:pPr>
              <w:rPr>
                <w:b/>
              </w:rPr>
            </w:pPr>
          </w:p>
        </w:tc>
        <w:tc>
          <w:tcPr>
            <w:tcW w:w="2551" w:type="dxa"/>
            <w:vMerge/>
          </w:tcPr>
          <w:p w:rsidR="003C11CF" w:rsidRDefault="003C11CF" w:rsidP="003555DA">
            <w:pPr>
              <w:jc w:val="center"/>
              <w:rPr>
                <w:b/>
              </w:rPr>
            </w:pPr>
          </w:p>
        </w:tc>
        <w:tc>
          <w:tcPr>
            <w:tcW w:w="6231" w:type="dxa"/>
            <w:gridSpan w:val="4"/>
          </w:tcPr>
          <w:p w:rsidR="003C11CF" w:rsidRDefault="003C11CF" w:rsidP="006B44CC">
            <w:pPr>
              <w:jc w:val="both"/>
            </w:pPr>
            <w:r>
              <w:t>Kvartalo energinio efektyvumo didinimo atrankos kriterijų balai sumuojami ir reitinguojami bendro balo mažėjimo tvarka, pirmumą teikiant aukštesnį balą surinkusioms Kvartalų didinimo programoms.</w:t>
            </w:r>
          </w:p>
        </w:tc>
      </w:tr>
      <w:tr w:rsidR="003C11CF" w:rsidTr="003C11CF">
        <w:tc>
          <w:tcPr>
            <w:tcW w:w="846" w:type="dxa"/>
            <w:vMerge/>
          </w:tcPr>
          <w:p w:rsidR="003C11CF" w:rsidRDefault="003C11CF" w:rsidP="001019F0">
            <w:pPr>
              <w:rPr>
                <w:b/>
              </w:rPr>
            </w:pPr>
          </w:p>
        </w:tc>
        <w:tc>
          <w:tcPr>
            <w:tcW w:w="2551" w:type="dxa"/>
            <w:vMerge/>
          </w:tcPr>
          <w:p w:rsidR="003C11CF" w:rsidRDefault="003C11CF" w:rsidP="003555DA">
            <w:pPr>
              <w:jc w:val="center"/>
              <w:rPr>
                <w:b/>
              </w:rPr>
            </w:pPr>
          </w:p>
        </w:tc>
        <w:tc>
          <w:tcPr>
            <w:tcW w:w="2263" w:type="dxa"/>
          </w:tcPr>
          <w:p w:rsidR="003C11CF" w:rsidRDefault="003C11CF" w:rsidP="00637D2B">
            <w:pPr>
              <w:jc w:val="both"/>
            </w:pPr>
            <w:r>
              <w:t>2.2. aukštesnės nei C pastato energinio naudingumo klasės kriterijus</w:t>
            </w:r>
          </w:p>
        </w:tc>
        <w:tc>
          <w:tcPr>
            <w:tcW w:w="3968" w:type="dxa"/>
            <w:gridSpan w:val="3"/>
            <w:shd w:val="clear" w:color="auto" w:fill="auto"/>
          </w:tcPr>
          <w:p w:rsidR="003C11CF" w:rsidRDefault="003C11CF" w:rsidP="00637D2B">
            <w:pPr>
              <w:jc w:val="both"/>
            </w:pPr>
            <w:r>
              <w:t>Taikomas, jeigu:</w:t>
            </w:r>
          </w:p>
          <w:p w:rsidR="003C11CF" w:rsidRDefault="003C11CF" w:rsidP="00637D2B">
            <w:pPr>
              <w:jc w:val="both"/>
            </w:pPr>
            <w:r>
              <w:t>1. kvietimo metu nepateikta paraiškų, kurios į</w:t>
            </w:r>
            <w:r w:rsidR="00D0594B">
              <w:t>rašy</w:t>
            </w:r>
            <w:r>
              <w:t>tos į savivaldybių parengtas Kvartalų programas;</w:t>
            </w:r>
          </w:p>
          <w:p w:rsidR="003C11CF" w:rsidRDefault="003C11CF" w:rsidP="00AF1366">
            <w:pPr>
              <w:jc w:val="both"/>
            </w:pPr>
            <w:r>
              <w:t>2. atlikus 2.1 papunktyje nurodyto prioritetinio kriterijaus atranką</w:t>
            </w:r>
            <w:r w:rsidR="00D0594B">
              <w:t>,</w:t>
            </w:r>
            <w:r>
              <w:t xml:space="preserve"> nepanaudojama visa kvietimo lėšų suma.</w:t>
            </w:r>
          </w:p>
        </w:tc>
      </w:tr>
      <w:tr w:rsidR="003C11CF" w:rsidTr="003C11CF">
        <w:tc>
          <w:tcPr>
            <w:tcW w:w="846" w:type="dxa"/>
            <w:vMerge/>
          </w:tcPr>
          <w:p w:rsidR="003C11CF" w:rsidRDefault="003C11CF" w:rsidP="001019F0">
            <w:pPr>
              <w:rPr>
                <w:b/>
              </w:rPr>
            </w:pPr>
          </w:p>
        </w:tc>
        <w:tc>
          <w:tcPr>
            <w:tcW w:w="2551" w:type="dxa"/>
            <w:vMerge/>
          </w:tcPr>
          <w:p w:rsidR="003C11CF" w:rsidRDefault="003C11CF" w:rsidP="003555DA">
            <w:pPr>
              <w:jc w:val="center"/>
              <w:rPr>
                <w:b/>
              </w:rPr>
            </w:pPr>
          </w:p>
        </w:tc>
        <w:tc>
          <w:tcPr>
            <w:tcW w:w="2263" w:type="dxa"/>
          </w:tcPr>
          <w:p w:rsidR="003C11CF" w:rsidRDefault="003C11CF" w:rsidP="003555DA">
            <w:pPr>
              <w:jc w:val="both"/>
            </w:pPr>
            <w:r>
              <w:t>2.3. papildomi atrankos kriterijai</w:t>
            </w:r>
          </w:p>
        </w:tc>
        <w:tc>
          <w:tcPr>
            <w:tcW w:w="3968" w:type="dxa"/>
            <w:gridSpan w:val="3"/>
            <w:shd w:val="clear" w:color="auto" w:fill="auto"/>
          </w:tcPr>
          <w:p w:rsidR="003C11CF" w:rsidRDefault="003C11CF" w:rsidP="00D71BDC">
            <w:pPr>
              <w:jc w:val="both"/>
            </w:pPr>
            <w:r>
              <w:t>Taikomi, jeigu atlikus paraiškų atranką pagal 2.1 ir 2.2 papunkčiuose nurodytus kriterijus lieka neišnaudot</w:t>
            </w:r>
            <w:r w:rsidR="00D0594B">
              <w:t>ų</w:t>
            </w:r>
            <w:r>
              <w:t xml:space="preserve"> kvietimo lėšų.</w:t>
            </w:r>
          </w:p>
        </w:tc>
      </w:tr>
      <w:tr w:rsidR="003C11CF" w:rsidTr="003C11CF">
        <w:tc>
          <w:tcPr>
            <w:tcW w:w="846" w:type="dxa"/>
            <w:vMerge/>
          </w:tcPr>
          <w:p w:rsidR="003C11CF" w:rsidRDefault="003C11CF" w:rsidP="001019F0">
            <w:pPr>
              <w:rPr>
                <w:b/>
              </w:rPr>
            </w:pPr>
          </w:p>
        </w:tc>
        <w:tc>
          <w:tcPr>
            <w:tcW w:w="2551" w:type="dxa"/>
            <w:vMerge/>
          </w:tcPr>
          <w:p w:rsidR="003C11CF" w:rsidRDefault="003C11CF" w:rsidP="003555DA">
            <w:pPr>
              <w:jc w:val="center"/>
              <w:rPr>
                <w:b/>
              </w:rPr>
            </w:pPr>
          </w:p>
        </w:tc>
        <w:tc>
          <w:tcPr>
            <w:tcW w:w="2263" w:type="dxa"/>
            <w:vAlign w:val="center"/>
          </w:tcPr>
          <w:p w:rsidR="003C11CF" w:rsidRDefault="003C11CF" w:rsidP="004D4DDB">
            <w:pPr>
              <w:jc w:val="center"/>
            </w:pPr>
            <w:r>
              <w:t>Efektyvumo</w:t>
            </w:r>
          </w:p>
        </w:tc>
        <w:tc>
          <w:tcPr>
            <w:tcW w:w="3968" w:type="dxa"/>
            <w:gridSpan w:val="3"/>
          </w:tcPr>
          <w:p w:rsidR="003C11CF" w:rsidRDefault="003C11CF" w:rsidP="003555DA">
            <w:pPr>
              <w:jc w:val="both"/>
            </w:pPr>
            <w:r>
              <w:t>E = E</w:t>
            </w:r>
            <w:r>
              <w:rPr>
                <w:vertAlign w:val="subscript"/>
              </w:rPr>
              <w:t>IP</w:t>
            </w:r>
            <w:r>
              <w:t xml:space="preserve"> / E</w:t>
            </w:r>
            <w:r>
              <w:rPr>
                <w:rFonts w:cs="Times New Roman"/>
                <w:vertAlign w:val="subscript"/>
              </w:rPr>
              <w:t>∑</w:t>
            </w:r>
            <w:r>
              <w:rPr>
                <w:vertAlign w:val="subscript"/>
              </w:rPr>
              <w:t>IP</w:t>
            </w:r>
            <w:r>
              <w:t xml:space="preserve"> + 1, kai</w:t>
            </w:r>
          </w:p>
          <w:p w:rsidR="003C11CF" w:rsidRDefault="003C11CF" w:rsidP="003555DA">
            <w:pPr>
              <w:jc w:val="both"/>
            </w:pPr>
          </w:p>
          <w:p w:rsidR="003C11CF" w:rsidRDefault="003C11CF" w:rsidP="00172925">
            <w:pPr>
              <w:jc w:val="both"/>
            </w:pPr>
            <w:r>
              <w:t>E – skaičiuojamųjų šilumos energijos sąnaudų sumažinimo palyginimo koeficientas;</w:t>
            </w:r>
          </w:p>
          <w:p w:rsidR="003C11CF" w:rsidRDefault="003C11CF" w:rsidP="00172925">
            <w:pPr>
              <w:jc w:val="both"/>
            </w:pPr>
            <w:r>
              <w:t>E</w:t>
            </w:r>
            <w:r>
              <w:rPr>
                <w:vertAlign w:val="subscript"/>
              </w:rPr>
              <w:t>IP</w:t>
            </w:r>
            <w:r>
              <w:t xml:space="preserve"> – daugiabučio namo atnaujinimo (modernizavimo) investicijų plane nurodytas skaičiuojamasis metinis šilumos energijos sąnaudų sutaupymas (visam namui kWh/metus);</w:t>
            </w:r>
          </w:p>
          <w:p w:rsidR="003C11CF" w:rsidRPr="00172925" w:rsidRDefault="003C11CF" w:rsidP="00D71BDC">
            <w:pPr>
              <w:jc w:val="both"/>
            </w:pPr>
            <w:r>
              <w:t>E</w:t>
            </w:r>
            <w:r>
              <w:rPr>
                <w:rFonts w:cs="Times New Roman"/>
                <w:vertAlign w:val="subscript"/>
              </w:rPr>
              <w:t>∑</w:t>
            </w:r>
            <w:r>
              <w:rPr>
                <w:vertAlign w:val="subscript"/>
              </w:rPr>
              <w:t>IP</w:t>
            </w:r>
            <w:r>
              <w:t xml:space="preserve"> – suminis visuose daugiabučio namo atnaujinimo (modernizavimo) investicijų planuose (išskyrus investicijų planus, kurie atrinkti taikant 2.1 ir 2.2 papunkčiuose nurodytus kriterijus) nurodytas skaičiuojamasis metinis šilumos energijos sąnaudų sutaupymas (visam namui kWh/metus).</w:t>
            </w:r>
          </w:p>
        </w:tc>
      </w:tr>
      <w:tr w:rsidR="003C11CF" w:rsidTr="003C11CF">
        <w:tc>
          <w:tcPr>
            <w:tcW w:w="846" w:type="dxa"/>
            <w:vMerge/>
          </w:tcPr>
          <w:p w:rsidR="003C11CF" w:rsidRDefault="003C11CF" w:rsidP="001019F0">
            <w:pPr>
              <w:rPr>
                <w:b/>
              </w:rPr>
            </w:pPr>
          </w:p>
        </w:tc>
        <w:tc>
          <w:tcPr>
            <w:tcW w:w="2551" w:type="dxa"/>
            <w:vMerge/>
          </w:tcPr>
          <w:p w:rsidR="003C11CF" w:rsidRDefault="003C11CF" w:rsidP="00A80E5D">
            <w:pPr>
              <w:jc w:val="center"/>
              <w:rPr>
                <w:b/>
              </w:rPr>
            </w:pPr>
          </w:p>
        </w:tc>
        <w:tc>
          <w:tcPr>
            <w:tcW w:w="2263" w:type="dxa"/>
            <w:vAlign w:val="center"/>
          </w:tcPr>
          <w:p w:rsidR="003C11CF" w:rsidRDefault="003C11CF" w:rsidP="004D4DDB">
            <w:pPr>
              <w:jc w:val="center"/>
            </w:pPr>
            <w:r>
              <w:t>Aplinkosauginis</w:t>
            </w:r>
          </w:p>
        </w:tc>
        <w:tc>
          <w:tcPr>
            <w:tcW w:w="3968" w:type="dxa"/>
            <w:gridSpan w:val="3"/>
          </w:tcPr>
          <w:p w:rsidR="003C11CF" w:rsidRDefault="003C11CF" w:rsidP="00C2476F">
            <w:pPr>
              <w:jc w:val="both"/>
            </w:pPr>
            <w:r>
              <w:t>CO = CO</w:t>
            </w:r>
            <w:r>
              <w:rPr>
                <w:vertAlign w:val="subscript"/>
              </w:rPr>
              <w:t>IP</w:t>
            </w:r>
            <w:r>
              <w:t xml:space="preserve"> / CO</w:t>
            </w:r>
            <w:r>
              <w:rPr>
                <w:rFonts w:cs="Times New Roman"/>
                <w:vertAlign w:val="subscript"/>
              </w:rPr>
              <w:t>∑</w:t>
            </w:r>
            <w:r>
              <w:rPr>
                <w:vertAlign w:val="subscript"/>
              </w:rPr>
              <w:t>IP</w:t>
            </w:r>
            <w:r>
              <w:t xml:space="preserve"> + 1, kai</w:t>
            </w:r>
          </w:p>
          <w:p w:rsidR="003C11CF" w:rsidRDefault="003C11CF" w:rsidP="003555DA">
            <w:pPr>
              <w:jc w:val="both"/>
            </w:pPr>
          </w:p>
          <w:p w:rsidR="003C11CF" w:rsidRDefault="003C11CF" w:rsidP="003555DA">
            <w:pPr>
              <w:jc w:val="both"/>
            </w:pPr>
            <w:r>
              <w:t>CO – šiltnamio efektą sukeliančių dujų išmetimo į atmosferą sumažinimą palyginantis koeficientas;</w:t>
            </w:r>
          </w:p>
          <w:p w:rsidR="003C11CF" w:rsidRDefault="003C11CF" w:rsidP="00FA15AF">
            <w:pPr>
              <w:jc w:val="both"/>
            </w:pPr>
            <w:r>
              <w:lastRenderedPageBreak/>
              <w:t>CO</w:t>
            </w:r>
            <w:r>
              <w:rPr>
                <w:vertAlign w:val="subscript"/>
              </w:rPr>
              <w:t>IP</w:t>
            </w:r>
            <w:r>
              <w:t xml:space="preserve"> – daugiabučio namo atnaujinimo (modernizavimo) investicijų plane nurodytas šiltnamio efektą sukeliančių dujų išmetimo į atmosferą sumažinimas (tūkst. t/metus);</w:t>
            </w:r>
          </w:p>
          <w:p w:rsidR="003C11CF" w:rsidRPr="00FA15AF" w:rsidRDefault="003C11CF" w:rsidP="00D71BDC">
            <w:pPr>
              <w:jc w:val="both"/>
            </w:pPr>
            <w:r>
              <w:t>CO</w:t>
            </w:r>
            <w:r>
              <w:rPr>
                <w:rFonts w:cs="Times New Roman"/>
                <w:vertAlign w:val="subscript"/>
              </w:rPr>
              <w:t>∑</w:t>
            </w:r>
            <w:r>
              <w:rPr>
                <w:vertAlign w:val="subscript"/>
              </w:rPr>
              <w:t>IP</w:t>
            </w:r>
            <w:r>
              <w:t xml:space="preserve"> – suminis visuose daugiabučio namo atnaujinimo (modernizavimo) investicijų planuose (išskyrus investicijų planus, kurie atrinkti taikant 2.1 ir 2.2 papunkčiuose nurodytus kriterijus) nurodytas šiltnamio efektą sukeliančių dujų išmetimo į atmosferą sumažinimas (tūkst. t/metus).</w:t>
            </w:r>
          </w:p>
        </w:tc>
      </w:tr>
      <w:tr w:rsidR="003C11CF" w:rsidTr="003C11CF">
        <w:tc>
          <w:tcPr>
            <w:tcW w:w="846" w:type="dxa"/>
            <w:vMerge/>
          </w:tcPr>
          <w:p w:rsidR="003C11CF" w:rsidRDefault="003C11CF" w:rsidP="001019F0">
            <w:pPr>
              <w:rPr>
                <w:b/>
              </w:rPr>
            </w:pPr>
          </w:p>
        </w:tc>
        <w:tc>
          <w:tcPr>
            <w:tcW w:w="2551" w:type="dxa"/>
            <w:vMerge w:val="restart"/>
          </w:tcPr>
          <w:p w:rsidR="003C11CF" w:rsidRDefault="003C11CF" w:rsidP="003555DA">
            <w:pPr>
              <w:jc w:val="center"/>
              <w:rPr>
                <w:b/>
              </w:rPr>
            </w:pPr>
          </w:p>
        </w:tc>
        <w:tc>
          <w:tcPr>
            <w:tcW w:w="2263" w:type="dxa"/>
            <w:vAlign w:val="center"/>
          </w:tcPr>
          <w:p w:rsidR="003C11CF" w:rsidRDefault="003C11CF" w:rsidP="00FA15AF">
            <w:pPr>
              <w:jc w:val="center"/>
            </w:pPr>
            <w:r>
              <w:t>Atnaujinamas (modernizuojamas) plotas</w:t>
            </w:r>
          </w:p>
        </w:tc>
        <w:tc>
          <w:tcPr>
            <w:tcW w:w="3968" w:type="dxa"/>
            <w:gridSpan w:val="3"/>
          </w:tcPr>
          <w:p w:rsidR="003C11CF" w:rsidRDefault="003C11CF" w:rsidP="00FA15AF">
            <w:pPr>
              <w:jc w:val="both"/>
            </w:pPr>
            <w:r>
              <w:t>P = P</w:t>
            </w:r>
            <w:r>
              <w:rPr>
                <w:vertAlign w:val="subscript"/>
              </w:rPr>
              <w:t>IP</w:t>
            </w:r>
            <w:r>
              <w:t xml:space="preserve"> / P</w:t>
            </w:r>
            <w:r>
              <w:rPr>
                <w:rFonts w:cs="Times New Roman"/>
                <w:vertAlign w:val="subscript"/>
              </w:rPr>
              <w:t>∑</w:t>
            </w:r>
            <w:r>
              <w:rPr>
                <w:vertAlign w:val="subscript"/>
              </w:rPr>
              <w:t>IP</w:t>
            </w:r>
            <w:r>
              <w:t xml:space="preserve"> + 1, kai</w:t>
            </w:r>
          </w:p>
          <w:p w:rsidR="003C11CF" w:rsidRDefault="003C11CF" w:rsidP="003555DA">
            <w:pPr>
              <w:jc w:val="both"/>
            </w:pPr>
          </w:p>
          <w:p w:rsidR="003C11CF" w:rsidRDefault="003C11CF" w:rsidP="00FA15AF">
            <w:pPr>
              <w:jc w:val="both"/>
            </w:pPr>
            <w:r>
              <w:t>P – atnaujinamų (modernizuojamų) daugiabučių namų ploto palyginimo koeficientas;</w:t>
            </w:r>
          </w:p>
          <w:p w:rsidR="003C11CF" w:rsidRDefault="003C11CF" w:rsidP="00FA15AF">
            <w:pPr>
              <w:jc w:val="both"/>
            </w:pPr>
            <w:r>
              <w:t>P</w:t>
            </w:r>
            <w:r>
              <w:rPr>
                <w:vertAlign w:val="subscript"/>
              </w:rPr>
              <w:t>IP</w:t>
            </w:r>
            <w:r>
              <w:t xml:space="preserve"> – daugiabučio namo atnaujinimo (modernizavimo) investicijų plane nurodytas daugiabučio namo naudingasis plotas;</w:t>
            </w:r>
          </w:p>
          <w:p w:rsidR="003C11CF" w:rsidRPr="00FA15AF" w:rsidRDefault="003C11CF" w:rsidP="00FA15AF">
            <w:pPr>
              <w:jc w:val="both"/>
            </w:pPr>
            <w:r>
              <w:t>P</w:t>
            </w:r>
            <w:r>
              <w:rPr>
                <w:rFonts w:cs="Times New Roman"/>
                <w:vertAlign w:val="subscript"/>
              </w:rPr>
              <w:t>∑</w:t>
            </w:r>
            <w:r>
              <w:rPr>
                <w:vertAlign w:val="subscript"/>
              </w:rPr>
              <w:t>IP</w:t>
            </w:r>
            <w:r>
              <w:t xml:space="preserve"> – suminis visuose daugiabučio namo atnaujinimo (modernizavimo) investicijų planuose (išskyrus investicijų planus, kurie atrinkti taikant 2.1 papunktyje nurodytą prioritetinį kriterijų) nurodytas daugiabučių namų naudingasis plotas</w:t>
            </w:r>
          </w:p>
        </w:tc>
      </w:tr>
      <w:tr w:rsidR="003C11CF" w:rsidTr="003C11CF">
        <w:tc>
          <w:tcPr>
            <w:tcW w:w="846" w:type="dxa"/>
            <w:vMerge/>
          </w:tcPr>
          <w:p w:rsidR="003C11CF" w:rsidRPr="001019F0" w:rsidRDefault="003C11CF" w:rsidP="001019F0"/>
        </w:tc>
        <w:tc>
          <w:tcPr>
            <w:tcW w:w="2551" w:type="dxa"/>
            <w:vMerge/>
          </w:tcPr>
          <w:p w:rsidR="003C11CF" w:rsidRDefault="003C11CF" w:rsidP="003555DA">
            <w:pPr>
              <w:jc w:val="center"/>
              <w:rPr>
                <w:b/>
              </w:rPr>
            </w:pPr>
          </w:p>
        </w:tc>
        <w:tc>
          <w:tcPr>
            <w:tcW w:w="6231" w:type="dxa"/>
            <w:gridSpan w:val="4"/>
          </w:tcPr>
          <w:p w:rsidR="003C11CF" w:rsidRDefault="003C11CF" w:rsidP="003555DA">
            <w:pPr>
              <w:jc w:val="both"/>
            </w:pPr>
            <w:r>
              <w:t>Papildomų atrankos kriterijų balai sumuojami ir reitinguojami bendro balo mažėjimo tvarka, pirmumą teikiant aukštesnį balą surinkusioms paraiškoms.</w:t>
            </w:r>
          </w:p>
        </w:tc>
      </w:tr>
      <w:tr w:rsidR="003C11CF" w:rsidTr="003C11CF">
        <w:tc>
          <w:tcPr>
            <w:tcW w:w="846" w:type="dxa"/>
            <w:vMerge/>
          </w:tcPr>
          <w:p w:rsidR="003C11CF" w:rsidRDefault="003C11CF" w:rsidP="00F25F68">
            <w:pPr>
              <w:jc w:val="center"/>
              <w:rPr>
                <w:b/>
              </w:rPr>
            </w:pPr>
          </w:p>
        </w:tc>
        <w:tc>
          <w:tcPr>
            <w:tcW w:w="2551" w:type="dxa"/>
            <w:vMerge/>
            <w:vAlign w:val="center"/>
          </w:tcPr>
          <w:p w:rsidR="003C11CF" w:rsidRDefault="003C11CF" w:rsidP="00F25F68">
            <w:pPr>
              <w:jc w:val="center"/>
              <w:rPr>
                <w:b/>
              </w:rPr>
            </w:pPr>
          </w:p>
        </w:tc>
        <w:tc>
          <w:tcPr>
            <w:tcW w:w="2263" w:type="dxa"/>
            <w:vAlign w:val="center"/>
          </w:tcPr>
          <w:p w:rsidR="003C11CF" w:rsidRPr="00B53942" w:rsidRDefault="003C11CF" w:rsidP="00D84254">
            <w:pPr>
              <w:jc w:val="center"/>
              <w:rPr>
                <w:i/>
              </w:rPr>
            </w:pPr>
            <w:r w:rsidRPr="00B53942">
              <w:rPr>
                <w:i/>
              </w:rPr>
              <w:t>Pastaba:</w:t>
            </w:r>
          </w:p>
        </w:tc>
        <w:tc>
          <w:tcPr>
            <w:tcW w:w="3968" w:type="dxa"/>
            <w:gridSpan w:val="3"/>
            <w:vAlign w:val="center"/>
          </w:tcPr>
          <w:p w:rsidR="003C11CF" w:rsidRDefault="003C11CF" w:rsidP="009E5F4A">
            <w:pPr>
              <w:jc w:val="both"/>
            </w:pPr>
            <w:r>
              <w:t>1. Kriterijaus balas apskaičiuojamas apvalinant iki 1/10000 dalies.</w:t>
            </w:r>
          </w:p>
          <w:p w:rsidR="003C11CF" w:rsidRDefault="003C11CF" w:rsidP="009E5F4A">
            <w:pPr>
              <w:jc w:val="both"/>
            </w:pPr>
            <w:r>
              <w:t>2. Jeigu du ar daugiau paraiškų surenka vienodą kriterijaus balą, paraiškos reitinguojamas atsižvelgus į didesnį butų ir kitų patalpų savininkų pritarimą daugiabučio namo atnaujinimui (modernizavimui).</w:t>
            </w:r>
          </w:p>
        </w:tc>
      </w:tr>
      <w:tr w:rsidR="008D4592" w:rsidTr="003C11CF">
        <w:tc>
          <w:tcPr>
            <w:tcW w:w="846" w:type="dxa"/>
          </w:tcPr>
          <w:p w:rsidR="008D4592" w:rsidRDefault="008D4592" w:rsidP="00F25F68">
            <w:pPr>
              <w:jc w:val="center"/>
              <w:rPr>
                <w:b/>
              </w:rPr>
            </w:pPr>
          </w:p>
          <w:p w:rsidR="008D4592" w:rsidRDefault="008D4592" w:rsidP="00F25F68">
            <w:pPr>
              <w:jc w:val="center"/>
              <w:rPr>
                <w:b/>
              </w:rPr>
            </w:pPr>
          </w:p>
          <w:p w:rsidR="008D4592" w:rsidRDefault="008D4592" w:rsidP="00F25F68">
            <w:pPr>
              <w:jc w:val="center"/>
              <w:rPr>
                <w:b/>
              </w:rPr>
            </w:pPr>
          </w:p>
          <w:p w:rsidR="008D4592" w:rsidRDefault="008D4592" w:rsidP="00F25F68">
            <w:pPr>
              <w:jc w:val="center"/>
              <w:rPr>
                <w:b/>
              </w:rPr>
            </w:pPr>
            <w:r>
              <w:rPr>
                <w:b/>
              </w:rPr>
              <w:t>10.</w:t>
            </w:r>
          </w:p>
        </w:tc>
        <w:tc>
          <w:tcPr>
            <w:tcW w:w="2551" w:type="dxa"/>
            <w:vAlign w:val="center"/>
          </w:tcPr>
          <w:p w:rsidR="008D4592" w:rsidRDefault="008D4592" w:rsidP="00F25F68">
            <w:pPr>
              <w:jc w:val="center"/>
              <w:rPr>
                <w:b/>
              </w:rPr>
            </w:pPr>
            <w:r>
              <w:rPr>
                <w:b/>
              </w:rPr>
              <w:t>Paraiškų reitingavimas ir finansuojamų projektų sąrašo sudarymas</w:t>
            </w:r>
          </w:p>
        </w:tc>
        <w:tc>
          <w:tcPr>
            <w:tcW w:w="6231" w:type="dxa"/>
            <w:gridSpan w:val="4"/>
          </w:tcPr>
          <w:p w:rsidR="008D4592" w:rsidRDefault="008D4592" w:rsidP="009E5F4A">
            <w:pPr>
              <w:jc w:val="both"/>
            </w:pPr>
            <w:r>
              <w:t xml:space="preserve">Paraiškos reitinguojamos ir finansuojamų projektų sąrašas sudaromas </w:t>
            </w:r>
            <w:r>
              <w:rPr>
                <w:rFonts w:eastAsia="Calibri"/>
                <w:color w:val="000000"/>
                <w:szCs w:val="24"/>
                <w:lang w:eastAsia="lt-LT"/>
              </w:rPr>
              <w:t>Paraiškų atnaujinti (modernizuoti) daugiabutį namą teikimo, vertinimo ir atrankos tvarkos aprašo, patvirtinto Lietuvos Respublikos aplinkos ministro 2015 m. balandžio 1 d. įsakymu Nr. D1-267 „Dėl Paraiškų atnaujinti (modernizuoti) daugiabutį namą teikimo, vertinimo ir atrankos tvarkos aprašo patvirtinimo“ (toliau – Tvarkos aprašas), nustatyta tvarka.</w:t>
            </w:r>
          </w:p>
        </w:tc>
      </w:tr>
      <w:tr w:rsidR="008D4592" w:rsidTr="003C11CF">
        <w:tc>
          <w:tcPr>
            <w:tcW w:w="846" w:type="dxa"/>
            <w:tcBorders>
              <w:bottom w:val="single" w:sz="4" w:space="0" w:color="auto"/>
            </w:tcBorders>
          </w:tcPr>
          <w:p w:rsidR="008D4592" w:rsidRDefault="008D4592" w:rsidP="00FB4F97">
            <w:pPr>
              <w:jc w:val="center"/>
              <w:rPr>
                <w:b/>
              </w:rPr>
            </w:pPr>
          </w:p>
          <w:p w:rsidR="008D4592" w:rsidRDefault="008D4592" w:rsidP="00784085">
            <w:pPr>
              <w:rPr>
                <w:b/>
              </w:rPr>
            </w:pPr>
          </w:p>
          <w:p w:rsidR="008D4592" w:rsidRDefault="008D4592" w:rsidP="00FB4F97">
            <w:pPr>
              <w:jc w:val="center"/>
              <w:rPr>
                <w:b/>
              </w:rPr>
            </w:pPr>
            <w:r>
              <w:rPr>
                <w:b/>
              </w:rPr>
              <w:t>11.</w:t>
            </w:r>
          </w:p>
        </w:tc>
        <w:tc>
          <w:tcPr>
            <w:tcW w:w="2551" w:type="dxa"/>
            <w:vAlign w:val="center"/>
          </w:tcPr>
          <w:p w:rsidR="008D4592" w:rsidRDefault="008D4592" w:rsidP="00FB4F97">
            <w:pPr>
              <w:jc w:val="center"/>
              <w:rPr>
                <w:b/>
              </w:rPr>
            </w:pPr>
            <w:r>
              <w:rPr>
                <w:b/>
              </w:rPr>
              <w:t>Rezervinis projektų sąrašas</w:t>
            </w:r>
          </w:p>
        </w:tc>
        <w:tc>
          <w:tcPr>
            <w:tcW w:w="6231" w:type="dxa"/>
            <w:gridSpan w:val="4"/>
          </w:tcPr>
          <w:p w:rsidR="008D4592" w:rsidRDefault="008D4592" w:rsidP="009E5F4A">
            <w:pPr>
              <w:jc w:val="both"/>
            </w:pPr>
            <w:r>
              <w:t>Paraiškos, kurios atlikus projektų atranką nepateko į einamųjų metų finansuojamų projektų sąrašą, Tvarkos aprašo nustatyta tvarka į</w:t>
            </w:r>
            <w:r w:rsidR="00D0594B">
              <w:t>rašo</w:t>
            </w:r>
            <w:r>
              <w:t xml:space="preserve">mos į rezervinį projektų sąrašą. Šiame sąraše esantys projektai eilės tvarka gali būti perkeliami į finansuojamų projektų sąrašą, jeigu finansuojamų projektų </w:t>
            </w:r>
            <w:r>
              <w:lastRenderedPageBreak/>
              <w:t xml:space="preserve">sąraše esantis projektas teisės aktų nustatytais terminais </w:t>
            </w:r>
            <w:r w:rsidR="00D0594B">
              <w:t>ne</w:t>
            </w:r>
            <w:r>
              <w:t>pradėtas įgyvendinti.</w:t>
            </w:r>
          </w:p>
          <w:p w:rsidR="008D4592" w:rsidRDefault="008D4592" w:rsidP="005E4509">
            <w:pPr>
              <w:jc w:val="both"/>
            </w:pPr>
            <w:r>
              <w:t xml:space="preserve">Rezerviniame sąraše esantys projektai, įvertinus einamųjų metų turimus ar planuojamus finansinius išteklius projektams finansuoti ir valstybės paramai teikti, eilės tvarka finansuojami kitais metais. </w:t>
            </w:r>
            <w:r w:rsidR="00D0594B">
              <w:t>Turint lėšų</w:t>
            </w:r>
            <w:r>
              <w:t xml:space="preserve"> atnaujinimo (modernizavimo) projektams finansuoti ir (ar) valstybės paramai teikti, </w:t>
            </w:r>
            <w:r w:rsidRPr="005E4509">
              <w:t>gali būti pasirašomos valstybės paramos teikimo sutartys dėl projektų esančių</w:t>
            </w:r>
            <w:r>
              <w:rPr>
                <w:b/>
              </w:rPr>
              <w:t xml:space="preserve"> </w:t>
            </w:r>
            <w:r>
              <w:t>rezerviniame sąraše įgyvendinimo, jose nustatant valstybės paramos išmokėjimo terminus.</w:t>
            </w:r>
          </w:p>
        </w:tc>
      </w:tr>
      <w:tr w:rsidR="008D4592" w:rsidTr="003C11CF">
        <w:tc>
          <w:tcPr>
            <w:tcW w:w="846" w:type="dxa"/>
            <w:tcBorders>
              <w:bottom w:val="nil"/>
            </w:tcBorders>
          </w:tcPr>
          <w:p w:rsidR="008D4592" w:rsidRDefault="008D4592" w:rsidP="00F25F68">
            <w:pPr>
              <w:jc w:val="center"/>
              <w:rPr>
                <w:b/>
              </w:rPr>
            </w:pPr>
          </w:p>
        </w:tc>
        <w:tc>
          <w:tcPr>
            <w:tcW w:w="2551" w:type="dxa"/>
            <w:vMerge w:val="restart"/>
            <w:vAlign w:val="center"/>
          </w:tcPr>
          <w:p w:rsidR="008D4592" w:rsidRPr="00C759C8" w:rsidRDefault="008D4592" w:rsidP="00F25F68">
            <w:pPr>
              <w:jc w:val="center"/>
              <w:rPr>
                <w:b/>
              </w:rPr>
            </w:pPr>
            <w:r>
              <w:rPr>
                <w:b/>
              </w:rPr>
              <w:t>Paraiškų teikimas</w:t>
            </w:r>
          </w:p>
        </w:tc>
        <w:tc>
          <w:tcPr>
            <w:tcW w:w="2263" w:type="dxa"/>
            <w:vAlign w:val="center"/>
          </w:tcPr>
          <w:p w:rsidR="008D4592" w:rsidRDefault="008D4592" w:rsidP="00D84254">
            <w:pPr>
              <w:jc w:val="center"/>
            </w:pPr>
            <w:r>
              <w:t>Terminas</w:t>
            </w:r>
          </w:p>
        </w:tc>
        <w:tc>
          <w:tcPr>
            <w:tcW w:w="3968" w:type="dxa"/>
            <w:gridSpan w:val="3"/>
            <w:vAlign w:val="center"/>
          </w:tcPr>
          <w:p w:rsidR="008D4592" w:rsidRPr="00BC6F35" w:rsidRDefault="008D4592" w:rsidP="00F51EE5">
            <w:r w:rsidRPr="00BC6F35">
              <w:t>Nuo 2018-11-01 iki 2018-12-01.</w:t>
            </w:r>
          </w:p>
        </w:tc>
      </w:tr>
      <w:tr w:rsidR="008D4592" w:rsidTr="003C11CF">
        <w:tc>
          <w:tcPr>
            <w:tcW w:w="846" w:type="dxa"/>
            <w:tcBorders>
              <w:top w:val="nil"/>
              <w:bottom w:val="nil"/>
            </w:tcBorders>
          </w:tcPr>
          <w:p w:rsidR="008D4592" w:rsidRDefault="008D4592" w:rsidP="00F51EE5">
            <w:pPr>
              <w:jc w:val="center"/>
              <w:rPr>
                <w:b/>
              </w:rPr>
            </w:pPr>
          </w:p>
          <w:p w:rsidR="008D4592" w:rsidRDefault="008D4592" w:rsidP="00F51EE5">
            <w:pPr>
              <w:jc w:val="center"/>
              <w:rPr>
                <w:b/>
              </w:rPr>
            </w:pPr>
          </w:p>
          <w:p w:rsidR="008D4592" w:rsidRDefault="008D4592" w:rsidP="00F51EE5">
            <w:pPr>
              <w:jc w:val="center"/>
              <w:rPr>
                <w:b/>
              </w:rPr>
            </w:pPr>
          </w:p>
          <w:p w:rsidR="008D4592" w:rsidRDefault="008D4592" w:rsidP="00F51EE5">
            <w:pPr>
              <w:jc w:val="center"/>
              <w:rPr>
                <w:b/>
              </w:rPr>
            </w:pPr>
            <w:r>
              <w:rPr>
                <w:b/>
              </w:rPr>
              <w:t>12.</w:t>
            </w:r>
          </w:p>
        </w:tc>
        <w:tc>
          <w:tcPr>
            <w:tcW w:w="2551" w:type="dxa"/>
            <w:vMerge/>
          </w:tcPr>
          <w:p w:rsidR="008D4592" w:rsidRDefault="008D4592" w:rsidP="00F51EE5">
            <w:pPr>
              <w:jc w:val="center"/>
              <w:rPr>
                <w:b/>
              </w:rPr>
            </w:pPr>
          </w:p>
        </w:tc>
        <w:tc>
          <w:tcPr>
            <w:tcW w:w="2263" w:type="dxa"/>
            <w:vAlign w:val="center"/>
          </w:tcPr>
          <w:p w:rsidR="008D4592" w:rsidRDefault="008D4592" w:rsidP="00D84254">
            <w:pPr>
              <w:jc w:val="center"/>
            </w:pPr>
            <w:r>
              <w:t>Vieta</w:t>
            </w:r>
          </w:p>
        </w:tc>
        <w:tc>
          <w:tcPr>
            <w:tcW w:w="3968" w:type="dxa"/>
            <w:gridSpan w:val="3"/>
            <w:vAlign w:val="center"/>
          </w:tcPr>
          <w:p w:rsidR="008D4592" w:rsidRDefault="008D4592" w:rsidP="0035009D">
            <w:pPr>
              <w:rPr>
                <w:rFonts w:cs="Times New Roman"/>
                <w:szCs w:val="24"/>
              </w:rPr>
            </w:pPr>
            <w:r>
              <w:t xml:space="preserve">viešoji įstaiga „Būsto energijos taupymo agentūra“, </w:t>
            </w:r>
            <w:r w:rsidRPr="00F51EE5">
              <w:rPr>
                <w:rFonts w:cs="Times New Roman"/>
                <w:szCs w:val="24"/>
              </w:rPr>
              <w:t>Švitrigailos g. 11B, LT-03228</w:t>
            </w:r>
            <w:bookmarkStart w:id="1" w:name="_GoBack"/>
            <w:bookmarkEnd w:id="1"/>
            <w:r w:rsidRPr="00F51EE5">
              <w:rPr>
                <w:rFonts w:cs="Times New Roman"/>
                <w:szCs w:val="24"/>
              </w:rPr>
              <w:t xml:space="preserve"> Vilnius</w:t>
            </w:r>
            <w:r>
              <w:rPr>
                <w:rFonts w:cs="Times New Roman"/>
                <w:szCs w:val="24"/>
              </w:rPr>
              <w:t>, tel.</w:t>
            </w:r>
            <w:r w:rsidRPr="0035009D">
              <w:rPr>
                <w:rFonts w:cs="Times New Roman"/>
                <w:szCs w:val="24"/>
              </w:rPr>
              <w:t xml:space="preserve"> (8 5) 270 5455</w:t>
            </w:r>
            <w:r>
              <w:rPr>
                <w:rFonts w:cs="Times New Roman"/>
                <w:szCs w:val="24"/>
              </w:rPr>
              <w:t xml:space="preserve">, el. p. </w:t>
            </w:r>
            <w:hyperlink r:id="rId7" w:history="1">
              <w:r w:rsidRPr="00D64272">
                <w:rPr>
                  <w:rStyle w:val="Hyperlink"/>
                  <w:rFonts w:cs="Times New Roman"/>
                  <w:szCs w:val="24"/>
                </w:rPr>
                <w:t>info</w:t>
              </w:r>
              <w:r w:rsidRPr="00D64272">
                <w:rPr>
                  <w:rStyle w:val="Hyperlink"/>
                  <w:rFonts w:cs="Times New Roman"/>
                  <w:szCs w:val="24"/>
                  <w:lang w:val="en-US"/>
                </w:rPr>
                <w:t>@</w:t>
              </w:r>
              <w:proofErr w:type="spellStart"/>
              <w:r w:rsidRPr="00D64272">
                <w:rPr>
                  <w:rStyle w:val="Hyperlink"/>
                  <w:rFonts w:cs="Times New Roman"/>
                  <w:szCs w:val="24"/>
                </w:rPr>
                <w:t>betalt.lt</w:t>
              </w:r>
              <w:proofErr w:type="spellEnd"/>
            </w:hyperlink>
            <w:r>
              <w:rPr>
                <w:rStyle w:val="Hyperlink"/>
                <w:rFonts w:cs="Times New Roman"/>
                <w:szCs w:val="24"/>
              </w:rPr>
              <w:t>.</w:t>
            </w:r>
            <w:r>
              <w:rPr>
                <w:rFonts w:cs="Times New Roman"/>
                <w:szCs w:val="24"/>
              </w:rPr>
              <w:t xml:space="preserve"> </w:t>
            </w:r>
          </w:p>
          <w:p w:rsidR="008D4592" w:rsidRPr="0035009D" w:rsidRDefault="008D4592" w:rsidP="001F387E">
            <w:r>
              <w:rPr>
                <w:rFonts w:eastAsia="Times New Roman"/>
                <w:bCs/>
                <w:lang w:eastAsia="lt-LT"/>
              </w:rPr>
              <w:t xml:space="preserve">Paraiškos teikiamos </w:t>
            </w:r>
            <w:r w:rsidRPr="00532EC3">
              <w:rPr>
                <w:rFonts w:eastAsia="Times New Roman"/>
                <w:bCs/>
                <w:lang w:eastAsia="lt-LT"/>
              </w:rPr>
              <w:t xml:space="preserve">tiesiogiai arba </w:t>
            </w:r>
            <w:r w:rsidRPr="00532EC3">
              <w:rPr>
                <w:rFonts w:eastAsia="Times New Roman"/>
                <w:lang w:eastAsia="lt-LT"/>
              </w:rPr>
              <w:t>naudojantis pašto ir (ar) pasiuntinių teikiamomis paslaugomis</w:t>
            </w:r>
            <w:r>
              <w:rPr>
                <w:rFonts w:eastAsia="Times New Roman"/>
                <w:lang w:eastAsia="lt-LT"/>
              </w:rPr>
              <w:t>.</w:t>
            </w:r>
          </w:p>
        </w:tc>
      </w:tr>
      <w:tr w:rsidR="008D4592" w:rsidTr="003C11CF">
        <w:tc>
          <w:tcPr>
            <w:tcW w:w="846" w:type="dxa"/>
            <w:tcBorders>
              <w:top w:val="nil"/>
            </w:tcBorders>
          </w:tcPr>
          <w:p w:rsidR="008D4592" w:rsidRDefault="008D4592" w:rsidP="00F51EE5">
            <w:pPr>
              <w:jc w:val="center"/>
              <w:rPr>
                <w:b/>
              </w:rPr>
            </w:pPr>
          </w:p>
        </w:tc>
        <w:tc>
          <w:tcPr>
            <w:tcW w:w="2551" w:type="dxa"/>
            <w:vMerge/>
          </w:tcPr>
          <w:p w:rsidR="008D4592" w:rsidRDefault="008D4592" w:rsidP="00F51EE5">
            <w:pPr>
              <w:jc w:val="center"/>
              <w:rPr>
                <w:b/>
              </w:rPr>
            </w:pPr>
          </w:p>
        </w:tc>
        <w:tc>
          <w:tcPr>
            <w:tcW w:w="2263" w:type="dxa"/>
            <w:vAlign w:val="center"/>
          </w:tcPr>
          <w:p w:rsidR="008D4592" w:rsidRDefault="008D4592" w:rsidP="00D84254">
            <w:pPr>
              <w:jc w:val="center"/>
            </w:pPr>
            <w:r>
              <w:t>Skaičius</w:t>
            </w:r>
          </w:p>
        </w:tc>
        <w:tc>
          <w:tcPr>
            <w:tcW w:w="3968" w:type="dxa"/>
            <w:gridSpan w:val="3"/>
            <w:vAlign w:val="center"/>
          </w:tcPr>
          <w:p w:rsidR="008D4592" w:rsidRDefault="008D4592" w:rsidP="0035009D">
            <w:r>
              <w:t>Neribojamas.</w:t>
            </w:r>
          </w:p>
        </w:tc>
      </w:tr>
    </w:tbl>
    <w:p w:rsidR="00A86F46" w:rsidRDefault="00A86F46" w:rsidP="00A86F46">
      <w:pPr>
        <w:jc w:val="center"/>
      </w:pPr>
    </w:p>
    <w:p w:rsidR="00A86F46" w:rsidRDefault="00D84254" w:rsidP="00A86F46">
      <w:pPr>
        <w:jc w:val="center"/>
      </w:pPr>
      <w:r>
        <w:t>________________</w:t>
      </w:r>
    </w:p>
    <w:sectPr w:rsidR="00A86F46" w:rsidSect="00024C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D7E" w:rsidRDefault="003B2D7E" w:rsidP="00024CD3">
      <w:r>
        <w:separator/>
      </w:r>
    </w:p>
  </w:endnote>
  <w:endnote w:type="continuationSeparator" w:id="0">
    <w:p w:rsidR="003B2D7E" w:rsidRDefault="003B2D7E" w:rsidP="0002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D7E" w:rsidRDefault="003B2D7E" w:rsidP="00024CD3">
      <w:r>
        <w:separator/>
      </w:r>
    </w:p>
  </w:footnote>
  <w:footnote w:type="continuationSeparator" w:id="0">
    <w:p w:rsidR="003B2D7E" w:rsidRDefault="003B2D7E" w:rsidP="0002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386365"/>
      <w:docPartObj>
        <w:docPartGallery w:val="Page Numbers (Top of Page)"/>
        <w:docPartUnique/>
      </w:docPartObj>
    </w:sdtPr>
    <w:sdtEndPr/>
    <w:sdtContent>
      <w:p w:rsidR="00024CD3" w:rsidRDefault="00024CD3">
        <w:pPr>
          <w:pStyle w:val="Header"/>
          <w:jc w:val="center"/>
        </w:pPr>
        <w:r>
          <w:fldChar w:fldCharType="begin"/>
        </w:r>
        <w:r>
          <w:instrText>PAGE   \* MERGEFORMAT</w:instrText>
        </w:r>
        <w:r>
          <w:fldChar w:fldCharType="separate"/>
        </w:r>
        <w:r w:rsidR="008475D6">
          <w:rPr>
            <w:noProof/>
          </w:rPr>
          <w:t>5</w:t>
        </w:r>
        <w:r>
          <w:fldChar w:fldCharType="end"/>
        </w:r>
      </w:p>
    </w:sdtContent>
  </w:sdt>
  <w:p w:rsidR="00024CD3" w:rsidRDefault="00024C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46"/>
    <w:rsid w:val="0000589F"/>
    <w:rsid w:val="00024CD3"/>
    <w:rsid w:val="00061B98"/>
    <w:rsid w:val="00070E75"/>
    <w:rsid w:val="000857C6"/>
    <w:rsid w:val="000B2648"/>
    <w:rsid w:val="000F181E"/>
    <w:rsid w:val="00100A83"/>
    <w:rsid w:val="001019F0"/>
    <w:rsid w:val="00114BF5"/>
    <w:rsid w:val="00124354"/>
    <w:rsid w:val="0016367E"/>
    <w:rsid w:val="00172925"/>
    <w:rsid w:val="00190809"/>
    <w:rsid w:val="001944B5"/>
    <w:rsid w:val="001A5B59"/>
    <w:rsid w:val="001C7825"/>
    <w:rsid w:val="001D2787"/>
    <w:rsid w:val="001D2B58"/>
    <w:rsid w:val="001D2C21"/>
    <w:rsid w:val="001E4AEE"/>
    <w:rsid w:val="001F387E"/>
    <w:rsid w:val="002061BE"/>
    <w:rsid w:val="002145FB"/>
    <w:rsid w:val="00215826"/>
    <w:rsid w:val="0023544F"/>
    <w:rsid w:val="0029373D"/>
    <w:rsid w:val="002F2FD3"/>
    <w:rsid w:val="00311668"/>
    <w:rsid w:val="00333973"/>
    <w:rsid w:val="0033738A"/>
    <w:rsid w:val="0035009D"/>
    <w:rsid w:val="0035444C"/>
    <w:rsid w:val="0037211B"/>
    <w:rsid w:val="00386D6F"/>
    <w:rsid w:val="00387DB7"/>
    <w:rsid w:val="003B2D7E"/>
    <w:rsid w:val="003C11CF"/>
    <w:rsid w:val="003C74FB"/>
    <w:rsid w:val="003F5805"/>
    <w:rsid w:val="00401FDE"/>
    <w:rsid w:val="004A4D9D"/>
    <w:rsid w:val="004D4DDB"/>
    <w:rsid w:val="004F1F0D"/>
    <w:rsid w:val="00505593"/>
    <w:rsid w:val="00506ACA"/>
    <w:rsid w:val="00507E6A"/>
    <w:rsid w:val="00580A2D"/>
    <w:rsid w:val="00586CD6"/>
    <w:rsid w:val="005B3D53"/>
    <w:rsid w:val="005E4509"/>
    <w:rsid w:val="00636B09"/>
    <w:rsid w:val="00637D2B"/>
    <w:rsid w:val="00681439"/>
    <w:rsid w:val="006A06AF"/>
    <w:rsid w:val="006B44CC"/>
    <w:rsid w:val="006F0B6C"/>
    <w:rsid w:val="0071241D"/>
    <w:rsid w:val="00762EC5"/>
    <w:rsid w:val="00763915"/>
    <w:rsid w:val="00771D86"/>
    <w:rsid w:val="00774240"/>
    <w:rsid w:val="00781D8A"/>
    <w:rsid w:val="00784085"/>
    <w:rsid w:val="0079089A"/>
    <w:rsid w:val="007E4509"/>
    <w:rsid w:val="007E76F4"/>
    <w:rsid w:val="0082385E"/>
    <w:rsid w:val="00826CE5"/>
    <w:rsid w:val="00831435"/>
    <w:rsid w:val="00837A05"/>
    <w:rsid w:val="008475D6"/>
    <w:rsid w:val="008578A3"/>
    <w:rsid w:val="00877BB2"/>
    <w:rsid w:val="00896B8D"/>
    <w:rsid w:val="008A3282"/>
    <w:rsid w:val="008A35B3"/>
    <w:rsid w:val="008A6005"/>
    <w:rsid w:val="008D4592"/>
    <w:rsid w:val="009212D6"/>
    <w:rsid w:val="0096346D"/>
    <w:rsid w:val="00970DB7"/>
    <w:rsid w:val="00972CA8"/>
    <w:rsid w:val="00990403"/>
    <w:rsid w:val="009C48C8"/>
    <w:rsid w:val="009C4B59"/>
    <w:rsid w:val="009E5F4A"/>
    <w:rsid w:val="00A04B82"/>
    <w:rsid w:val="00A11F02"/>
    <w:rsid w:val="00A65BF8"/>
    <w:rsid w:val="00A86F46"/>
    <w:rsid w:val="00AB7ED2"/>
    <w:rsid w:val="00AF1366"/>
    <w:rsid w:val="00B00F41"/>
    <w:rsid w:val="00B522A2"/>
    <w:rsid w:val="00B53942"/>
    <w:rsid w:val="00B93F1E"/>
    <w:rsid w:val="00BA3A35"/>
    <w:rsid w:val="00BC2D4F"/>
    <w:rsid w:val="00BC6F35"/>
    <w:rsid w:val="00C2476F"/>
    <w:rsid w:val="00C52A2F"/>
    <w:rsid w:val="00C56F67"/>
    <w:rsid w:val="00C57FBA"/>
    <w:rsid w:val="00C759C8"/>
    <w:rsid w:val="00C873E1"/>
    <w:rsid w:val="00CE55A8"/>
    <w:rsid w:val="00CF70E6"/>
    <w:rsid w:val="00D0594B"/>
    <w:rsid w:val="00D2341F"/>
    <w:rsid w:val="00D40D66"/>
    <w:rsid w:val="00D65A11"/>
    <w:rsid w:val="00D71BDC"/>
    <w:rsid w:val="00D74A15"/>
    <w:rsid w:val="00D84254"/>
    <w:rsid w:val="00D8791E"/>
    <w:rsid w:val="00DA1AA3"/>
    <w:rsid w:val="00E020FF"/>
    <w:rsid w:val="00E33655"/>
    <w:rsid w:val="00E90371"/>
    <w:rsid w:val="00EE251C"/>
    <w:rsid w:val="00F25F68"/>
    <w:rsid w:val="00F51EE5"/>
    <w:rsid w:val="00F75404"/>
    <w:rsid w:val="00FA15AF"/>
    <w:rsid w:val="00FB4F97"/>
    <w:rsid w:val="00FB7896"/>
    <w:rsid w:val="00FC17C4"/>
    <w:rsid w:val="00FC6066"/>
    <w:rsid w:val="00FC7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3B8C"/>
  <w15:docId w15:val="{8044E21E-C31C-4E92-8AA7-3B5F6AB11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09D"/>
    <w:rPr>
      <w:color w:val="0000FF" w:themeColor="hyperlink"/>
      <w:u w:val="single"/>
    </w:rPr>
  </w:style>
  <w:style w:type="paragraph" w:styleId="ListParagraph">
    <w:name w:val="List Paragraph"/>
    <w:basedOn w:val="Normal"/>
    <w:uiPriority w:val="34"/>
    <w:qFormat/>
    <w:rsid w:val="0035009D"/>
    <w:pPr>
      <w:ind w:left="720"/>
      <w:contextualSpacing/>
    </w:pPr>
  </w:style>
  <w:style w:type="paragraph" w:styleId="Header">
    <w:name w:val="header"/>
    <w:basedOn w:val="Normal"/>
    <w:link w:val="HeaderChar"/>
    <w:uiPriority w:val="99"/>
    <w:unhideWhenUsed/>
    <w:rsid w:val="00024CD3"/>
    <w:pPr>
      <w:tabs>
        <w:tab w:val="center" w:pos="4819"/>
        <w:tab w:val="right" w:pos="9638"/>
      </w:tabs>
    </w:pPr>
  </w:style>
  <w:style w:type="character" w:customStyle="1" w:styleId="HeaderChar">
    <w:name w:val="Header Char"/>
    <w:basedOn w:val="DefaultParagraphFont"/>
    <w:link w:val="Header"/>
    <w:uiPriority w:val="99"/>
    <w:rsid w:val="00024CD3"/>
  </w:style>
  <w:style w:type="paragraph" w:styleId="Footer">
    <w:name w:val="footer"/>
    <w:basedOn w:val="Normal"/>
    <w:link w:val="FooterChar"/>
    <w:uiPriority w:val="99"/>
    <w:unhideWhenUsed/>
    <w:rsid w:val="00024CD3"/>
    <w:pPr>
      <w:tabs>
        <w:tab w:val="center" w:pos="4819"/>
        <w:tab w:val="right" w:pos="9638"/>
      </w:tabs>
    </w:pPr>
  </w:style>
  <w:style w:type="character" w:customStyle="1" w:styleId="FooterChar">
    <w:name w:val="Footer Char"/>
    <w:basedOn w:val="DefaultParagraphFont"/>
    <w:link w:val="Footer"/>
    <w:uiPriority w:val="99"/>
    <w:rsid w:val="00024CD3"/>
  </w:style>
  <w:style w:type="paragraph" w:styleId="BalloonText">
    <w:name w:val="Balloon Text"/>
    <w:basedOn w:val="Normal"/>
    <w:link w:val="BalloonTextChar"/>
    <w:uiPriority w:val="99"/>
    <w:semiHidden/>
    <w:unhideWhenUsed/>
    <w:rsid w:val="006B44CC"/>
    <w:rPr>
      <w:rFonts w:ascii="Tahoma" w:hAnsi="Tahoma" w:cs="Tahoma"/>
      <w:sz w:val="16"/>
      <w:szCs w:val="16"/>
    </w:rPr>
  </w:style>
  <w:style w:type="character" w:customStyle="1" w:styleId="BalloonTextChar">
    <w:name w:val="Balloon Text Char"/>
    <w:basedOn w:val="DefaultParagraphFont"/>
    <w:link w:val="BalloonText"/>
    <w:uiPriority w:val="99"/>
    <w:semiHidden/>
    <w:rsid w:val="006B44CC"/>
    <w:rPr>
      <w:rFonts w:ascii="Tahoma" w:hAnsi="Tahoma" w:cs="Tahoma"/>
      <w:sz w:val="16"/>
      <w:szCs w:val="16"/>
    </w:rPr>
  </w:style>
  <w:style w:type="character" w:styleId="CommentReference">
    <w:name w:val="annotation reference"/>
    <w:basedOn w:val="DefaultParagraphFont"/>
    <w:uiPriority w:val="99"/>
    <w:semiHidden/>
    <w:unhideWhenUsed/>
    <w:rsid w:val="000857C6"/>
    <w:rPr>
      <w:sz w:val="16"/>
      <w:szCs w:val="16"/>
    </w:rPr>
  </w:style>
  <w:style w:type="paragraph" w:styleId="CommentText">
    <w:name w:val="annotation text"/>
    <w:basedOn w:val="Normal"/>
    <w:link w:val="CommentTextChar"/>
    <w:uiPriority w:val="99"/>
    <w:semiHidden/>
    <w:unhideWhenUsed/>
    <w:rsid w:val="000857C6"/>
    <w:rPr>
      <w:sz w:val="20"/>
      <w:szCs w:val="20"/>
    </w:rPr>
  </w:style>
  <w:style w:type="character" w:customStyle="1" w:styleId="CommentTextChar">
    <w:name w:val="Comment Text Char"/>
    <w:basedOn w:val="DefaultParagraphFont"/>
    <w:link w:val="CommentText"/>
    <w:uiPriority w:val="99"/>
    <w:semiHidden/>
    <w:rsid w:val="000857C6"/>
    <w:rPr>
      <w:sz w:val="20"/>
      <w:szCs w:val="20"/>
    </w:rPr>
  </w:style>
  <w:style w:type="paragraph" w:styleId="CommentSubject">
    <w:name w:val="annotation subject"/>
    <w:basedOn w:val="CommentText"/>
    <w:next w:val="CommentText"/>
    <w:link w:val="CommentSubjectChar"/>
    <w:uiPriority w:val="99"/>
    <w:semiHidden/>
    <w:unhideWhenUsed/>
    <w:rsid w:val="000857C6"/>
    <w:rPr>
      <w:b/>
      <w:bCs/>
    </w:rPr>
  </w:style>
  <w:style w:type="character" w:customStyle="1" w:styleId="CommentSubjectChar">
    <w:name w:val="Comment Subject Char"/>
    <w:basedOn w:val="CommentTextChar"/>
    <w:link w:val="CommentSubject"/>
    <w:uiPriority w:val="99"/>
    <w:semiHidden/>
    <w:rsid w:val="000857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betal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A40A-866E-4CA2-8A6E-D273F1A4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8768</Words>
  <Characters>4998</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r.sveikauskas</dc:creator>
  <cp:lastModifiedBy>Ona Burneikaitė-Raugalienė</cp:lastModifiedBy>
  <cp:revision>11</cp:revision>
  <cp:lastPrinted>2018-07-25T08:10:00Z</cp:lastPrinted>
  <dcterms:created xsi:type="dcterms:W3CDTF">2018-07-18T06:37:00Z</dcterms:created>
  <dcterms:modified xsi:type="dcterms:W3CDTF">2018-07-26T08:40:00Z</dcterms:modified>
</cp:coreProperties>
</file>