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B7A91" w14:textId="2A9F5DF7" w:rsidR="006F6729" w:rsidRPr="006F6729" w:rsidRDefault="006F6729" w:rsidP="006F6729">
      <w:pPr>
        <w:pStyle w:val="Betarp"/>
        <w:jc w:val="both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6F6729">
        <w:rPr>
          <w:rFonts w:ascii="Times New Roman" w:hAnsi="Times New Roman" w:cs="Times New Roman"/>
          <w:b/>
          <w:bCs/>
          <w:noProof w:val="0"/>
          <w:sz w:val="24"/>
          <w:szCs w:val="24"/>
        </w:rPr>
        <w:t>ANTIKORUPCIJOS KOMISIJA: TYRIMO IŠVADŲ ĮGYVENDINIMAS LEISTŲ SUTAUPYTI IKI 20 MILIJONŲ EURŲ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VILNIEČIŲ LĖŠŲ</w:t>
      </w:r>
    </w:p>
    <w:p w14:paraId="3DDD5D8A" w14:textId="77777777" w:rsidR="006F6729" w:rsidRDefault="006F6729" w:rsidP="006F6729">
      <w:pPr>
        <w:pStyle w:val="Betarp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1C25A6B" w14:textId="15FBB324" w:rsidR="00A5418D" w:rsidRDefault="006F6729" w:rsidP="00861D77">
      <w:pPr>
        <w:pStyle w:val="Betarp"/>
        <w:spacing w:line="360" w:lineRule="auto"/>
        <w:ind w:firstLine="1296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Antikorupcijos komisija baigė tyrimą dėl Unikaliosios finansavimo sutarties, pasirašytos tarp Vilniaus miesto savivaldybės, AB Vilniaus šilumos tinklų, teisinių atstovų ir </w:t>
      </w:r>
      <w:r w:rsidR="00C3650B">
        <w:rPr>
          <w:rFonts w:ascii="Times New Roman" w:hAnsi="Times New Roman" w:cs="Times New Roman"/>
          <w:noProof w:val="0"/>
          <w:sz w:val="24"/>
          <w:szCs w:val="24"/>
        </w:rPr>
        <w:t xml:space="preserve">Liuksemburge registruoto rizikos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fondo „PI“. </w:t>
      </w:r>
      <w:r w:rsidR="00C3650B">
        <w:rPr>
          <w:rFonts w:ascii="Times New Roman" w:hAnsi="Times New Roman" w:cs="Times New Roman"/>
          <w:noProof w:val="0"/>
          <w:sz w:val="24"/>
          <w:szCs w:val="24"/>
        </w:rPr>
        <w:t>Finansavimo s</w:t>
      </w:r>
      <w:r w:rsidR="00A5418D">
        <w:rPr>
          <w:rFonts w:ascii="Times New Roman" w:hAnsi="Times New Roman" w:cs="Times New Roman"/>
          <w:noProof w:val="0"/>
          <w:sz w:val="24"/>
          <w:szCs w:val="24"/>
        </w:rPr>
        <w:t>utartis pasirašyta arbitražo bylai, kurioje dalyvauja sostinės savivaldybė ir jos kontroliuojami AB Vilniaus šilumos tinklai, finansuoti. Ginčas kilęs tarp savivaldybės ir buvusio šilumos ūkio valdytojo</w:t>
      </w:r>
      <w:r w:rsidR="00C3650B">
        <w:rPr>
          <w:rFonts w:ascii="Times New Roman" w:hAnsi="Times New Roman" w:cs="Times New Roman"/>
          <w:noProof w:val="0"/>
          <w:sz w:val="24"/>
          <w:szCs w:val="24"/>
        </w:rPr>
        <w:t xml:space="preserve"> UAB „Vilniaus energija“ ir </w:t>
      </w:r>
      <w:proofErr w:type="spellStart"/>
      <w:r w:rsidR="00C3650B">
        <w:rPr>
          <w:rFonts w:ascii="Times New Roman" w:hAnsi="Times New Roman" w:cs="Times New Roman"/>
          <w:noProof w:val="0"/>
          <w:sz w:val="24"/>
          <w:szCs w:val="24"/>
        </w:rPr>
        <w:t>Veolia</w:t>
      </w:r>
      <w:proofErr w:type="spellEnd"/>
      <w:r w:rsidR="00C3650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C3650B">
        <w:rPr>
          <w:rFonts w:ascii="Times New Roman" w:hAnsi="Times New Roman" w:cs="Times New Roman"/>
          <w:noProof w:val="0"/>
          <w:sz w:val="24"/>
          <w:szCs w:val="24"/>
        </w:rPr>
        <w:t>Environment</w:t>
      </w:r>
      <w:proofErr w:type="spellEnd"/>
      <w:r w:rsidR="00C3650B">
        <w:rPr>
          <w:rFonts w:ascii="Times New Roman" w:hAnsi="Times New Roman" w:cs="Times New Roman"/>
          <w:noProof w:val="0"/>
          <w:sz w:val="24"/>
          <w:szCs w:val="24"/>
        </w:rPr>
        <w:t xml:space="preserve"> S. A</w:t>
      </w:r>
      <w:r w:rsidR="00A5418D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602856A3" w14:textId="1D0EEA84" w:rsidR="006F6729" w:rsidRDefault="006F6729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Antikorupcijos komisija pripažino, kad </w:t>
      </w:r>
      <w:r w:rsidR="00A5418D">
        <w:rPr>
          <w:rFonts w:ascii="Times New Roman" w:hAnsi="Times New Roman" w:cs="Times New Roman"/>
          <w:noProof w:val="0"/>
          <w:sz w:val="24"/>
          <w:szCs w:val="24"/>
        </w:rPr>
        <w:t xml:space="preserve">iš anksto </w:t>
      </w:r>
      <w:r w:rsidR="00C3650B">
        <w:rPr>
          <w:rFonts w:ascii="Times New Roman" w:hAnsi="Times New Roman" w:cs="Times New Roman"/>
          <w:noProof w:val="0"/>
          <w:sz w:val="24"/>
          <w:szCs w:val="24"/>
        </w:rPr>
        <w:t xml:space="preserve">parinkto rizikos fondo </w:t>
      </w:r>
      <w:r w:rsidR="00BF4BA8">
        <w:rPr>
          <w:rFonts w:ascii="Times New Roman" w:hAnsi="Times New Roman" w:cs="Times New Roman"/>
          <w:noProof w:val="0"/>
          <w:sz w:val="24"/>
          <w:szCs w:val="24"/>
        </w:rPr>
        <w:t xml:space="preserve">„PI“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finansavimo sutartis prieštarauja </w:t>
      </w:r>
      <w:r w:rsidR="00A5418D">
        <w:rPr>
          <w:rFonts w:ascii="Times New Roman" w:hAnsi="Times New Roman" w:cs="Times New Roman"/>
          <w:noProof w:val="0"/>
          <w:sz w:val="24"/>
          <w:szCs w:val="24"/>
        </w:rPr>
        <w:t xml:space="preserve">2019-01-23 Vilniaus miesto savivaldybės tarybos sprendimui, kuris nustatė pagrindines arbitražo bylos finansavimo sąlygas. Tyrimo metu nustatyta, kad iki 20 milijonų sėkmės mokestis arbitražo bylą finansuojančiam rizikos fondui </w:t>
      </w:r>
      <w:r w:rsidR="009F3A19">
        <w:rPr>
          <w:rFonts w:ascii="Times New Roman" w:hAnsi="Times New Roman" w:cs="Times New Roman"/>
          <w:noProof w:val="0"/>
          <w:sz w:val="24"/>
          <w:szCs w:val="24"/>
        </w:rPr>
        <w:t>galės būti mokamas priklausomai nuo bylinėjimosi laiko ar suteiktos paskolos dydžio</w:t>
      </w:r>
      <w:r w:rsidR="000535B6">
        <w:rPr>
          <w:rFonts w:ascii="Times New Roman" w:hAnsi="Times New Roman" w:cs="Times New Roman"/>
          <w:noProof w:val="0"/>
          <w:sz w:val="24"/>
          <w:szCs w:val="24"/>
        </w:rPr>
        <w:t xml:space="preserve"> (esant tam tikroms sąlygoms)</w:t>
      </w:r>
      <w:r w:rsidR="009F3A19">
        <w:rPr>
          <w:rFonts w:ascii="Times New Roman" w:hAnsi="Times New Roman" w:cs="Times New Roman"/>
          <w:noProof w:val="0"/>
          <w:sz w:val="24"/>
          <w:szCs w:val="24"/>
        </w:rPr>
        <w:t xml:space="preserve">, tuo tarpu Tarybos sprendimas numatė galimybę mokėti sėkmės mokesčius tik nuo </w:t>
      </w:r>
      <w:r w:rsidR="000535B6">
        <w:rPr>
          <w:rFonts w:ascii="Times New Roman" w:hAnsi="Times New Roman" w:cs="Times New Roman"/>
          <w:noProof w:val="0"/>
          <w:sz w:val="24"/>
          <w:szCs w:val="24"/>
        </w:rPr>
        <w:t xml:space="preserve">aiškaus </w:t>
      </w:r>
      <w:r w:rsidR="009F3A19">
        <w:rPr>
          <w:rFonts w:ascii="Times New Roman" w:hAnsi="Times New Roman" w:cs="Times New Roman"/>
          <w:noProof w:val="0"/>
          <w:sz w:val="24"/>
          <w:szCs w:val="24"/>
        </w:rPr>
        <w:t>rezultato, t. y. proporcingai laimėtos ir išie</w:t>
      </w:r>
      <w:r w:rsidR="005D4BFE">
        <w:rPr>
          <w:rFonts w:ascii="Times New Roman" w:hAnsi="Times New Roman" w:cs="Times New Roman"/>
          <w:noProof w:val="0"/>
          <w:sz w:val="24"/>
          <w:szCs w:val="24"/>
        </w:rPr>
        <w:t>š</w:t>
      </w:r>
      <w:r w:rsidR="009F3A19">
        <w:rPr>
          <w:rFonts w:ascii="Times New Roman" w:hAnsi="Times New Roman" w:cs="Times New Roman"/>
          <w:noProof w:val="0"/>
          <w:sz w:val="24"/>
          <w:szCs w:val="24"/>
        </w:rPr>
        <w:t>kot</w:t>
      </w:r>
      <w:r w:rsidR="005D4BFE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9F3A19">
        <w:rPr>
          <w:rFonts w:ascii="Times New Roman" w:hAnsi="Times New Roman" w:cs="Times New Roman"/>
          <w:noProof w:val="0"/>
          <w:sz w:val="24"/>
          <w:szCs w:val="24"/>
        </w:rPr>
        <w:t>s pinigų sumos.</w:t>
      </w:r>
      <w:r w:rsidR="005D4BF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</w:p>
    <w:p w14:paraId="09925117" w14:textId="5D378D39" w:rsidR="009F3A19" w:rsidRPr="009F3A19" w:rsidRDefault="009F3A19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Tyrimo metu nustatyta, kad sėkmės mokestis taip pat galės būti mokamas nuo kitų faktorių, kurie nenumatyti Tarybos sprendime, kaip antai priklausomai nuo </w:t>
      </w:r>
      <w:r w:rsidRPr="009F3A19">
        <w:rPr>
          <w:rFonts w:ascii="Times New Roman" w:hAnsi="Times New Roman" w:cs="Times New Roman"/>
          <w:noProof w:val="0"/>
          <w:sz w:val="24"/>
          <w:szCs w:val="24"/>
        </w:rPr>
        <w:t>Vašingtono arbitražo bylos tarp Lietuvos Valstybės ir Prancūzijos energetikos koncerno „</w:t>
      </w:r>
      <w:proofErr w:type="spellStart"/>
      <w:r w:rsidRPr="009F3A19">
        <w:rPr>
          <w:rFonts w:ascii="Times New Roman" w:hAnsi="Times New Roman" w:cs="Times New Roman"/>
          <w:noProof w:val="0"/>
          <w:sz w:val="24"/>
          <w:szCs w:val="24"/>
        </w:rPr>
        <w:t>Veolia</w:t>
      </w:r>
      <w:proofErr w:type="spellEnd"/>
      <w:r w:rsidRPr="009F3A19">
        <w:rPr>
          <w:rFonts w:ascii="Times New Roman" w:hAnsi="Times New Roman" w:cs="Times New Roman"/>
          <w:noProof w:val="0"/>
          <w:sz w:val="24"/>
          <w:szCs w:val="24"/>
        </w:rPr>
        <w:t>“</w:t>
      </w:r>
      <w:r>
        <w:rPr>
          <w:rFonts w:ascii="Times New Roman" w:hAnsi="Times New Roman" w:cs="Times New Roman"/>
          <w:noProof w:val="0"/>
          <w:sz w:val="24"/>
          <w:szCs w:val="24"/>
        </w:rPr>
        <w:t>, kurios rizikos fondas „PI“ nefinansuoja, taip pat nuo taikos sutarties sudarymo, kurios sąlygos nesusietos su proporcingai išie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>š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kota pinigų suma ar nuo arbitražo bylos perspektyvos vertinimo, kurį galės atlikti teisiniai atstovai. </w:t>
      </w:r>
    </w:p>
    <w:p w14:paraId="663A6406" w14:textId="276F7253" w:rsidR="006F6729" w:rsidRDefault="009F3A19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>Komisija nustatė, kad Finansavimo sutartis</w:t>
      </w:r>
      <w:r w:rsidR="00662001">
        <w:rPr>
          <w:rFonts w:ascii="Times New Roman" w:hAnsi="Times New Roman" w:cs="Times New Roman"/>
          <w:noProof w:val="0"/>
          <w:sz w:val="24"/>
          <w:szCs w:val="24"/>
        </w:rPr>
        <w:t>, kurią sudarė ypač sudėtingas teisinis tekstas,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derinta ir pasirašyta net neturint jos vertimo į lietuvių kalbą</w:t>
      </w:r>
      <w:r w:rsidR="007042AE">
        <w:rPr>
          <w:rFonts w:ascii="Times New Roman" w:hAnsi="Times New Roman" w:cs="Times New Roman"/>
          <w:noProof w:val="0"/>
          <w:sz w:val="24"/>
          <w:szCs w:val="24"/>
        </w:rPr>
        <w:t xml:space="preserve"> bei ne visiems atsakingiems nariams į ją įsigilinus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662001">
        <w:rPr>
          <w:rFonts w:ascii="Times New Roman" w:hAnsi="Times New Roman" w:cs="Times New Roman"/>
          <w:noProof w:val="0"/>
          <w:sz w:val="24"/>
          <w:szCs w:val="24"/>
        </w:rPr>
        <w:t>Pavyzdžiui, tyrimo metu nustatyta ir tai, kad pirminis derintas Finansavimo susitarimo tekst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>as</w:t>
      </w:r>
      <w:r w:rsidR="00662001">
        <w:rPr>
          <w:rFonts w:ascii="Times New Roman" w:hAnsi="Times New Roman" w:cs="Times New Roman"/>
          <w:noProof w:val="0"/>
          <w:sz w:val="24"/>
          <w:szCs w:val="24"/>
        </w:rPr>
        <w:t xml:space="preserve"> numatė </w:t>
      </w:r>
      <w:r w:rsidR="007042AE">
        <w:rPr>
          <w:rFonts w:ascii="Times New Roman" w:hAnsi="Times New Roman" w:cs="Times New Roman"/>
          <w:noProof w:val="0"/>
          <w:sz w:val="24"/>
          <w:szCs w:val="24"/>
        </w:rPr>
        <w:t xml:space="preserve">net </w:t>
      </w:r>
      <w:r w:rsidR="00662001">
        <w:rPr>
          <w:rFonts w:ascii="Times New Roman" w:hAnsi="Times New Roman" w:cs="Times New Roman"/>
          <w:noProof w:val="0"/>
          <w:sz w:val="24"/>
          <w:szCs w:val="24"/>
        </w:rPr>
        <w:t>5 milijon</w:t>
      </w:r>
      <w:r w:rsidR="007042AE">
        <w:rPr>
          <w:rFonts w:ascii="Times New Roman" w:hAnsi="Times New Roman" w:cs="Times New Roman"/>
          <w:noProof w:val="0"/>
          <w:sz w:val="24"/>
          <w:szCs w:val="24"/>
        </w:rPr>
        <w:t xml:space="preserve">ais didesnį sėkmės mokestį, kurio nenumatė </w:t>
      </w:r>
      <w:r w:rsidR="000A75A6">
        <w:rPr>
          <w:rFonts w:ascii="Times New Roman" w:hAnsi="Times New Roman" w:cs="Times New Roman"/>
          <w:noProof w:val="0"/>
          <w:sz w:val="24"/>
          <w:szCs w:val="24"/>
        </w:rPr>
        <w:t>T</w:t>
      </w:r>
      <w:r w:rsidR="007042AE">
        <w:rPr>
          <w:rFonts w:ascii="Times New Roman" w:hAnsi="Times New Roman" w:cs="Times New Roman"/>
          <w:noProof w:val="0"/>
          <w:sz w:val="24"/>
          <w:szCs w:val="24"/>
        </w:rPr>
        <w:t xml:space="preserve">arybos sprendimas. </w:t>
      </w:r>
      <w:r w:rsidR="00BF4BA8">
        <w:rPr>
          <w:rFonts w:ascii="Times New Roman" w:hAnsi="Times New Roman" w:cs="Times New Roman"/>
          <w:noProof w:val="0"/>
          <w:sz w:val="24"/>
          <w:szCs w:val="24"/>
        </w:rPr>
        <w:t>K</w:t>
      </w:r>
      <w:r w:rsidR="007042AE">
        <w:rPr>
          <w:rFonts w:ascii="Times New Roman" w:hAnsi="Times New Roman" w:cs="Times New Roman"/>
          <w:noProof w:val="0"/>
          <w:sz w:val="24"/>
          <w:szCs w:val="24"/>
        </w:rPr>
        <w:t xml:space="preserve">laidą atsitiktinai pastebėjo </w:t>
      </w:r>
      <w:r w:rsidR="00662001">
        <w:rPr>
          <w:rFonts w:ascii="Times New Roman" w:hAnsi="Times New Roman" w:cs="Times New Roman"/>
          <w:noProof w:val="0"/>
          <w:sz w:val="24"/>
          <w:szCs w:val="24"/>
        </w:rPr>
        <w:t xml:space="preserve">AB Vilniaus šilumos tinklai valdybos </w:t>
      </w:r>
      <w:r w:rsidR="007042AE">
        <w:rPr>
          <w:rFonts w:ascii="Times New Roman" w:hAnsi="Times New Roman" w:cs="Times New Roman"/>
          <w:noProof w:val="0"/>
          <w:sz w:val="24"/>
          <w:szCs w:val="24"/>
        </w:rPr>
        <w:t>narys</w:t>
      </w:r>
      <w:r w:rsidR="00662001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</w:p>
    <w:p w14:paraId="1DC4D9D3" w14:textId="7ADB22E1" w:rsidR="00403C19" w:rsidRDefault="00662001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Komisijos pirmininkas, tarybos narys Vydūnas Sadauskas paaiškino: „tiek perkant teisinio atstovavimo paslaugas arbitraže, tiek parenkant arbitražo bylos finansavimo paslaugas reikia aiškios ir skaidrios atrankos procedūros, kurią reglamentuotų įstatymai, todėl Komisija nusprendė kreiptis į Seimą dėl tokios pilkosios zonos reglamentavimo. Savivaldybei buvo pasiūlytas gudrus „teisinės-finansinės inžinerijos modelis“, kurio pasekmių </w:t>
      </w:r>
      <w:r w:rsidR="005D4BFE">
        <w:rPr>
          <w:rFonts w:ascii="Times New Roman" w:hAnsi="Times New Roman" w:cs="Times New Roman"/>
          <w:noProof w:val="0"/>
          <w:sz w:val="24"/>
          <w:szCs w:val="24"/>
        </w:rPr>
        <w:t>galėjo nesuprasti jame dalyvavę asmenys</w:t>
      </w:r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403C19">
        <w:rPr>
          <w:rFonts w:ascii="Times New Roman" w:hAnsi="Times New Roman" w:cs="Times New Roman"/>
          <w:noProof w:val="0"/>
          <w:sz w:val="24"/>
          <w:szCs w:val="24"/>
        </w:rPr>
        <w:t xml:space="preserve"> Vakaruose puikiai žinoma „baltųjų apykaklių“ </w:t>
      </w:r>
      <w:r w:rsidR="00BF4BA8">
        <w:rPr>
          <w:rFonts w:ascii="Times New Roman" w:hAnsi="Times New Roman" w:cs="Times New Roman"/>
          <w:noProof w:val="0"/>
          <w:sz w:val="24"/>
          <w:szCs w:val="24"/>
        </w:rPr>
        <w:t>pilkoji veikla</w:t>
      </w:r>
      <w:r w:rsidR="00403C19">
        <w:rPr>
          <w:rFonts w:ascii="Times New Roman" w:hAnsi="Times New Roman" w:cs="Times New Roman"/>
          <w:noProof w:val="0"/>
          <w:sz w:val="24"/>
          <w:szCs w:val="24"/>
        </w:rPr>
        <w:t>, kai konsultantai, ekspertai ar teisines paslaugas teikiančios įmonės pasinaudodami įvairiomis schemomis ir turėdami politikų palaikymą švaisto mokesčių mokėtojų pinigus.</w:t>
      </w:r>
    </w:p>
    <w:p w14:paraId="00C6B583" w14:textId="57D75431" w:rsidR="00150015" w:rsidRDefault="00150015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lastRenderedPageBreak/>
        <w:tab/>
        <w:t xml:space="preserve">Komisija </w:t>
      </w:r>
      <w:r w:rsidR="005D4BFE">
        <w:rPr>
          <w:rFonts w:ascii="Times New Roman" w:hAnsi="Times New Roman" w:cs="Times New Roman"/>
          <w:noProof w:val="0"/>
          <w:sz w:val="24"/>
          <w:szCs w:val="24"/>
        </w:rPr>
        <w:t>nusprendė kreiptis į prokuratūrą, Specialiųjų tyrimų tarnybą, Valstybinę kalbos inspekciją. Kartu nustatyta, kad Finansavimo sutarties sąlygos derintos iš anksto, todėl nuspręsta kreiptis į Konkurencijos tarybą</w:t>
      </w:r>
      <w:r w:rsidR="00BF4BA8">
        <w:rPr>
          <w:rFonts w:ascii="Times New Roman" w:hAnsi="Times New Roman" w:cs="Times New Roman"/>
          <w:noProof w:val="0"/>
          <w:sz w:val="24"/>
          <w:szCs w:val="24"/>
        </w:rPr>
        <w:t>, ar tokia tvarka toleruotina konkurencine prasme ES</w:t>
      </w:r>
      <w:r w:rsidR="005D4BFE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Prokuratūros prašoma </w:t>
      </w:r>
      <w:r w:rsidRPr="00150015">
        <w:rPr>
          <w:rFonts w:ascii="Times New Roman" w:hAnsi="Times New Roman" w:cs="Times New Roman"/>
          <w:sz w:val="24"/>
          <w:szCs w:val="24"/>
        </w:rPr>
        <w:t>įvertinti, ar tarnautojų/darbuotojų pasirašiusių Finansavimo susitarimą, veiksmuose nėra galimo piktnaudžiavimo tarnybine padėtimi, įgaliojimų viršijimo ar kito nusižengimo valstybės tarnybai ir viešiems interesams;</w:t>
      </w:r>
    </w:p>
    <w:p w14:paraId="770A8089" w14:textId="5D9B7F84" w:rsidR="006F6729" w:rsidRDefault="005D4BFE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Komisijos narys, tarybos narys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Romasis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Vaitiekūnas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 xml:space="preserve"> paaiškino</w:t>
      </w:r>
      <w:r>
        <w:rPr>
          <w:rFonts w:ascii="Times New Roman" w:hAnsi="Times New Roman" w:cs="Times New Roman"/>
          <w:noProof w:val="0"/>
          <w:sz w:val="24"/>
          <w:szCs w:val="24"/>
        </w:rPr>
        <w:t>: „</w:t>
      </w:r>
      <w:r w:rsidR="000A75A6">
        <w:rPr>
          <w:rFonts w:ascii="Times New Roman" w:hAnsi="Times New Roman" w:cs="Times New Roman"/>
          <w:noProof w:val="0"/>
          <w:sz w:val="24"/>
          <w:szCs w:val="24"/>
        </w:rPr>
        <w:t>T</w:t>
      </w:r>
      <w:r>
        <w:rPr>
          <w:rFonts w:ascii="Times New Roman" w:hAnsi="Times New Roman" w:cs="Times New Roman"/>
          <w:noProof w:val="0"/>
          <w:sz w:val="24"/>
          <w:szCs w:val="24"/>
        </w:rPr>
        <w:t>yrimas parodė, kad toks finansavimo modelis Lietuvoje parinktas pirmą kartą, kurio sąlyg</w:t>
      </w:r>
      <w:r w:rsidR="000A75A6">
        <w:rPr>
          <w:rFonts w:ascii="Times New Roman" w:hAnsi="Times New Roman" w:cs="Times New Roman"/>
          <w:noProof w:val="0"/>
          <w:sz w:val="24"/>
          <w:szCs w:val="24"/>
        </w:rPr>
        <w:t>o</w:t>
      </w:r>
      <w:r>
        <w:rPr>
          <w:rFonts w:ascii="Times New Roman" w:hAnsi="Times New Roman" w:cs="Times New Roman"/>
          <w:noProof w:val="0"/>
          <w:sz w:val="24"/>
          <w:szCs w:val="24"/>
        </w:rPr>
        <w:t>s kelia daugiau klausimų nei atsakymų</w:t>
      </w:r>
      <w:r w:rsidR="00403C19">
        <w:rPr>
          <w:rFonts w:ascii="Times New Roman" w:hAnsi="Times New Roman" w:cs="Times New Roman"/>
          <w:noProof w:val="0"/>
          <w:sz w:val="24"/>
          <w:szCs w:val="24"/>
        </w:rPr>
        <w:t>. Komisijai nebuvo pateikta jokių įrodymų, kad atrenkant rizikos fondą buvo vykdyta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s skaidrus konkursas</w:t>
      </w:r>
      <w:r>
        <w:rPr>
          <w:rFonts w:ascii="Times New Roman" w:hAnsi="Times New Roman" w:cs="Times New Roman"/>
          <w:noProof w:val="0"/>
          <w:sz w:val="24"/>
          <w:szCs w:val="24"/>
        </w:rPr>
        <w:t>. Keista ir tai, kad savivaldybės teisini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atstova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 xml:space="preserve">iš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TGS Baltic dalyvauja ne tik kaip 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patarėjas teisiniais klausimais</w:t>
      </w:r>
      <w:r>
        <w:rPr>
          <w:rFonts w:ascii="Times New Roman" w:hAnsi="Times New Roman" w:cs="Times New Roman"/>
          <w:noProof w:val="0"/>
          <w:sz w:val="24"/>
          <w:szCs w:val="24"/>
        </w:rPr>
        <w:t>, bet ir kaip sandorio šalis, kuri</w:t>
      </w:r>
      <w:r w:rsidR="000A75A6">
        <w:rPr>
          <w:rFonts w:ascii="Times New Roman" w:hAnsi="Times New Roman" w:cs="Times New Roman"/>
          <w:noProof w:val="0"/>
          <w:sz w:val="24"/>
          <w:szCs w:val="24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pasirašė Finansavimo susitarimą ir kuri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gali 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>vertinti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bylos perspektyvą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>, nuo kurio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 xml:space="preserve"> netiesiogiai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 xml:space="preserve"> priklausytų ir sėkmės mokestis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. Dėl to Komisija nusprendė kreiptis ir į Advokatų tarybą su prašymu įvertinti, 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ar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teisini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atstova</w:t>
      </w:r>
      <w:r w:rsidR="00BE23FD">
        <w:rPr>
          <w:rFonts w:ascii="Times New Roman" w:hAnsi="Times New Roman" w:cs="Times New Roman"/>
          <w:noProof w:val="0"/>
          <w:sz w:val="24"/>
          <w:szCs w:val="24"/>
        </w:rPr>
        <w:t>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>nepažeidė profesinės etikos reikalavimų nesudaryti sandori</w:t>
      </w:r>
      <w:r w:rsidR="00BF4BA8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150015">
        <w:rPr>
          <w:rFonts w:ascii="Times New Roman" w:hAnsi="Times New Roman" w:cs="Times New Roman"/>
          <w:noProof w:val="0"/>
          <w:sz w:val="24"/>
          <w:szCs w:val="24"/>
        </w:rPr>
        <w:t xml:space="preserve"> su savo atstovaujamu klientu“.</w:t>
      </w:r>
    </w:p>
    <w:p w14:paraId="3177C41E" w14:textId="5AAB9295" w:rsidR="00861D77" w:rsidRDefault="00861D77" w:rsidP="00861D77">
      <w:pPr>
        <w:pStyle w:val="Betarp"/>
        <w:spacing w:line="36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3233640" w14:textId="77777777" w:rsidR="00861D77" w:rsidRPr="006F6729" w:rsidRDefault="00861D77" w:rsidP="00861D77">
      <w:pPr>
        <w:pStyle w:val="Betarp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bookmarkStart w:id="0" w:name="_GoBack"/>
      <w:bookmarkEnd w:id="0"/>
    </w:p>
    <w:sectPr w:rsidR="00861D77" w:rsidRPr="006F67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D5FC6"/>
    <w:multiLevelType w:val="hybridMultilevel"/>
    <w:tmpl w:val="2C3A0BD8"/>
    <w:lvl w:ilvl="0" w:tplc="B434C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9"/>
    <w:rsid w:val="000535B6"/>
    <w:rsid w:val="000A75A6"/>
    <w:rsid w:val="00150015"/>
    <w:rsid w:val="00252BCD"/>
    <w:rsid w:val="00403C19"/>
    <w:rsid w:val="005C5189"/>
    <w:rsid w:val="005D4BFE"/>
    <w:rsid w:val="00662001"/>
    <w:rsid w:val="006F6729"/>
    <w:rsid w:val="007042AE"/>
    <w:rsid w:val="007871B0"/>
    <w:rsid w:val="007F3F6B"/>
    <w:rsid w:val="00861D77"/>
    <w:rsid w:val="009C4319"/>
    <w:rsid w:val="009F3A19"/>
    <w:rsid w:val="00A5418D"/>
    <w:rsid w:val="00B344CB"/>
    <w:rsid w:val="00B43B3B"/>
    <w:rsid w:val="00BE23FD"/>
    <w:rsid w:val="00BF4BA8"/>
    <w:rsid w:val="00C3650B"/>
    <w:rsid w:val="00C958A9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B5AC"/>
  <w15:chartTrackingRefBased/>
  <w15:docId w15:val="{C4A2CD47-EE1D-493E-BE77-2C1A03A6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F6729"/>
    <w:pPr>
      <w:spacing w:after="0" w:line="240" w:lineRule="auto"/>
    </w:pPr>
    <w:rPr>
      <w:noProof/>
    </w:rPr>
  </w:style>
  <w:style w:type="paragraph" w:styleId="Sraopastraipa">
    <w:name w:val="List Paragraph"/>
    <w:basedOn w:val="prastasis"/>
    <w:uiPriority w:val="34"/>
    <w:qFormat/>
    <w:rsid w:val="00150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861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2632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Laisvės Sąjunga</cp:lastModifiedBy>
  <cp:revision>2</cp:revision>
  <dcterms:created xsi:type="dcterms:W3CDTF">2020-01-14T06:36:00Z</dcterms:created>
  <dcterms:modified xsi:type="dcterms:W3CDTF">2020-01-15T06:32:00Z</dcterms:modified>
</cp:coreProperties>
</file>