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CE74B" w14:textId="277DC94B" w:rsidR="00267C7E" w:rsidRDefault="00267C7E">
      <w:pPr>
        <w:jc w:val="center"/>
        <w:rPr>
          <w:b/>
          <w:lang w:val="en-US" w:eastAsia="lt-LT"/>
        </w:rPr>
      </w:pPr>
    </w:p>
    <w:p w14:paraId="0921B6BE" w14:textId="77777777" w:rsidR="00A632E5" w:rsidRPr="00A632E5" w:rsidRDefault="00A632E5" w:rsidP="00A632E5">
      <w:pPr>
        <w:jc w:val="center"/>
        <w:textAlignment w:val="auto"/>
      </w:pPr>
    </w:p>
    <w:p w14:paraId="4A23AA21" w14:textId="5AA377FB" w:rsidR="00184729" w:rsidRDefault="00184729" w:rsidP="00184729">
      <w:pPr>
        <w:jc w:val="center"/>
      </w:pPr>
      <w:bookmarkStart w:id="0" w:name="_Hlk102124447"/>
    </w:p>
    <w:p w14:paraId="6C9B7761" w14:textId="65709C46" w:rsidR="00A632E5" w:rsidRDefault="007C61A7" w:rsidP="00DF14F6">
      <w:pPr>
        <w:jc w:val="center"/>
        <w:rPr>
          <w:b/>
        </w:rPr>
      </w:pPr>
      <w:bookmarkStart w:id="1" w:name="_Hlk108629201"/>
      <w:r w:rsidRPr="007C61A7">
        <w:rPr>
          <w:b/>
        </w:rPr>
        <w:t>VILNIAUS MIESTO SAVIVALDYBĖS</w:t>
      </w:r>
      <w:r>
        <w:rPr>
          <w:b/>
        </w:rPr>
        <w:t xml:space="preserve"> </w:t>
      </w:r>
      <w:r w:rsidRPr="007C61A7">
        <w:rPr>
          <w:b/>
        </w:rPr>
        <w:t>TARYBOS</w:t>
      </w:r>
      <w:r>
        <w:rPr>
          <w:b/>
        </w:rPr>
        <w:t xml:space="preserve"> </w:t>
      </w:r>
      <w:r w:rsidRPr="00BA4214">
        <w:rPr>
          <w:b/>
        </w:rPr>
        <w:t>SPRENDIM</w:t>
      </w:r>
      <w:r>
        <w:rPr>
          <w:b/>
        </w:rPr>
        <w:t>O</w:t>
      </w:r>
      <w:r w:rsidR="005544CF">
        <w:rPr>
          <w:b/>
        </w:rPr>
        <w:t xml:space="preserve"> PROJEKTO</w:t>
      </w:r>
      <w:r w:rsidR="004F433F">
        <w:rPr>
          <w:b/>
        </w:rPr>
        <w:t>,,</w:t>
      </w:r>
      <w:r w:rsidR="004F433F" w:rsidRPr="00BA4214">
        <w:rPr>
          <w:b/>
        </w:rPr>
        <w:t>DĖL VILNIAUS MIE</w:t>
      </w:r>
      <w:r w:rsidR="009F542F">
        <w:rPr>
          <w:b/>
        </w:rPr>
        <w:t>S</w:t>
      </w:r>
      <w:r w:rsidR="004F433F" w:rsidRPr="00BA4214">
        <w:rPr>
          <w:b/>
        </w:rPr>
        <w:t xml:space="preserve">TO SAVIVALDYBĖS TERITORIJOS BENDROJO PLANO </w:t>
      </w:r>
      <w:r w:rsidR="004F433F">
        <w:rPr>
          <w:b/>
        </w:rPr>
        <w:t xml:space="preserve">KOREGAVIMO, TAISANT </w:t>
      </w:r>
      <w:r w:rsidR="004F433F" w:rsidRPr="00BA4214">
        <w:rPr>
          <w:b/>
        </w:rPr>
        <w:t>TECHNIN</w:t>
      </w:r>
      <w:r w:rsidR="004F433F">
        <w:rPr>
          <w:b/>
        </w:rPr>
        <w:t>ES</w:t>
      </w:r>
      <w:r w:rsidR="004F433F" w:rsidRPr="00BA4214">
        <w:rPr>
          <w:b/>
        </w:rPr>
        <w:t xml:space="preserve"> KLAID</w:t>
      </w:r>
      <w:r w:rsidR="004F433F">
        <w:rPr>
          <w:b/>
        </w:rPr>
        <w:t>AS</w:t>
      </w:r>
      <w:r w:rsidR="000C2D2B">
        <w:rPr>
          <w:b/>
        </w:rPr>
        <w:t>,</w:t>
      </w:r>
      <w:r w:rsidR="004F433F" w:rsidRPr="00BA4214">
        <w:rPr>
          <w:b/>
        </w:rPr>
        <w:t xml:space="preserve"> T</w:t>
      </w:r>
      <w:r w:rsidR="004F433F">
        <w:rPr>
          <w:b/>
        </w:rPr>
        <w:t>VIRTINI</w:t>
      </w:r>
      <w:r w:rsidR="004F433F" w:rsidRPr="00BA4214">
        <w:rPr>
          <w:b/>
        </w:rPr>
        <w:t>MO</w:t>
      </w:r>
      <w:r w:rsidR="004F433F">
        <w:rPr>
          <w:b/>
        </w:rPr>
        <w:t>“</w:t>
      </w:r>
      <w:bookmarkStart w:id="2" w:name="part_922eecc9288643ecad4f2fa45deaf801"/>
      <w:bookmarkEnd w:id="0"/>
      <w:bookmarkEnd w:id="2"/>
    </w:p>
    <w:p w14:paraId="6C05F952" w14:textId="77777777" w:rsidR="00DF14F6" w:rsidRPr="00DF14F6" w:rsidRDefault="00DF14F6" w:rsidP="00DF14F6">
      <w:pPr>
        <w:jc w:val="center"/>
        <w:rPr>
          <w:b/>
        </w:rPr>
      </w:pPr>
    </w:p>
    <w:p w14:paraId="45A873F0" w14:textId="77777777" w:rsidR="00475E5A" w:rsidRDefault="00A43B64">
      <w:pPr>
        <w:jc w:val="center"/>
        <w:rPr>
          <w:b/>
          <w:szCs w:val="20"/>
          <w:lang w:eastAsia="lt-LT"/>
        </w:rPr>
      </w:pPr>
      <w:r>
        <w:rPr>
          <w:b/>
          <w:szCs w:val="20"/>
          <w:lang w:eastAsia="lt-LT"/>
        </w:rPr>
        <w:t>AIŠKINAMASIS RAŠTAS</w:t>
      </w:r>
    </w:p>
    <w:p w14:paraId="6A749F38" w14:textId="77777777" w:rsidR="00475E5A" w:rsidRDefault="00475E5A">
      <w:pPr>
        <w:jc w:val="center"/>
        <w:rPr>
          <w:b/>
          <w:szCs w:val="20"/>
          <w:lang w:eastAsia="lt-LT"/>
        </w:rPr>
      </w:pPr>
    </w:p>
    <w:p w14:paraId="170D09CD" w14:textId="60D76CD4" w:rsidR="00475E5A" w:rsidRDefault="00A43B64">
      <w:pPr>
        <w:jc w:val="center"/>
        <w:rPr>
          <w:b/>
          <w:szCs w:val="20"/>
          <w:lang w:eastAsia="lt-LT"/>
        </w:rPr>
      </w:pPr>
      <w:r>
        <w:rPr>
          <w:b/>
          <w:szCs w:val="20"/>
          <w:lang w:eastAsia="lt-LT"/>
        </w:rPr>
        <w:t>202</w:t>
      </w:r>
      <w:r w:rsidR="00267C7E">
        <w:rPr>
          <w:b/>
          <w:szCs w:val="20"/>
          <w:lang w:val="en-US" w:eastAsia="lt-LT"/>
        </w:rPr>
        <w:t>2</w:t>
      </w:r>
      <w:r>
        <w:rPr>
          <w:b/>
          <w:szCs w:val="20"/>
          <w:lang w:eastAsia="lt-LT"/>
        </w:rPr>
        <w:t>-</w:t>
      </w:r>
      <w:r w:rsidR="00461CF7">
        <w:rPr>
          <w:b/>
          <w:szCs w:val="20"/>
          <w:lang w:eastAsia="lt-LT"/>
        </w:rPr>
        <w:t>0</w:t>
      </w:r>
      <w:r w:rsidR="007C61A7">
        <w:rPr>
          <w:b/>
          <w:szCs w:val="20"/>
          <w:lang w:val="en-US" w:eastAsia="lt-LT"/>
        </w:rPr>
        <w:t>7</w:t>
      </w:r>
      <w:r>
        <w:rPr>
          <w:b/>
          <w:szCs w:val="20"/>
          <w:lang w:eastAsia="lt-LT"/>
        </w:rPr>
        <w:t>-</w:t>
      </w:r>
      <w:r w:rsidR="00184729">
        <w:rPr>
          <w:b/>
          <w:szCs w:val="20"/>
          <w:lang w:eastAsia="lt-LT"/>
        </w:rPr>
        <w:t>1</w:t>
      </w:r>
      <w:r w:rsidR="0071771B">
        <w:rPr>
          <w:b/>
          <w:szCs w:val="20"/>
          <w:lang w:eastAsia="lt-LT"/>
        </w:rPr>
        <w:t>3</w:t>
      </w:r>
    </w:p>
    <w:p w14:paraId="6A3DCADF" w14:textId="77777777" w:rsidR="00475E5A" w:rsidRPr="00653CAE" w:rsidRDefault="00A43B64" w:rsidP="00653CAE">
      <w:pPr>
        <w:jc w:val="both"/>
        <w:rPr>
          <w:b/>
          <w:lang w:eastAsia="lt-LT"/>
        </w:rPr>
      </w:pPr>
      <w:r w:rsidRPr="00653CAE">
        <w:rPr>
          <w:b/>
          <w:lang w:eastAsia="lt-LT"/>
        </w:rPr>
        <w:t>1. Parengto teisės akto projekto tikslas ir uždaviniai:</w:t>
      </w:r>
    </w:p>
    <w:p w14:paraId="379A6B57" w14:textId="77777777" w:rsidR="00F158D1" w:rsidRDefault="00F158D1" w:rsidP="006A4A5F">
      <w:pPr>
        <w:pStyle w:val="Betarp"/>
        <w:ind w:firstLine="1296"/>
        <w:jc w:val="both"/>
      </w:pPr>
      <w:r>
        <w:rPr>
          <w:rFonts w:ascii="Times New Roman" w:hAnsi="Times New Roman"/>
          <w:sz w:val="24"/>
          <w:szCs w:val="24"/>
          <w:lang w:val="en-US"/>
        </w:rPr>
        <w:t>Prad</w:t>
      </w:r>
      <w:r>
        <w:rPr>
          <w:rFonts w:ascii="Times New Roman" w:hAnsi="Times New Roman"/>
          <w:sz w:val="24"/>
          <w:szCs w:val="24"/>
        </w:rPr>
        <w:t xml:space="preserve">ėjus įgyvendinti BP sprendinius, šiame kompleksinio teritorijų planavimo dokumente buvo pastebėtos techninės klaidos, t. y. </w:t>
      </w:r>
      <w:r>
        <w:rPr>
          <w:rFonts w:ascii="Times New Roman" w:hAnsi="Times New Roman"/>
          <w:b/>
          <w:bCs/>
          <w:sz w:val="24"/>
          <w:szCs w:val="24"/>
        </w:rPr>
        <w:t>spausdinimo, skaičiavimo, faktinių duomenų neatitikimo ar kitos klaidos</w:t>
      </w:r>
      <w:r>
        <w:rPr>
          <w:rFonts w:ascii="Times New Roman" w:hAnsi="Times New Roman"/>
          <w:sz w:val="24"/>
          <w:szCs w:val="24"/>
        </w:rPr>
        <w:t xml:space="preserve">, </w:t>
      </w:r>
      <w:r>
        <w:rPr>
          <w:rFonts w:ascii="Times New Roman" w:hAnsi="Times New Roman"/>
          <w:i/>
          <w:iCs/>
          <w:sz w:val="24"/>
          <w:szCs w:val="24"/>
        </w:rPr>
        <w:t>kurias ištaisius nekinta patvirtinto teritorijų planavimo dokumento sprendinio esmė ir jo atitiktis teritorijos planavimo sąlygoms, pateiktoms rengiant šį teritorijų planavimo dokumentą</w:t>
      </w:r>
      <w:r>
        <w:rPr>
          <w:rFonts w:ascii="Times New Roman" w:hAnsi="Times New Roman"/>
          <w:sz w:val="24"/>
          <w:szCs w:val="24"/>
        </w:rPr>
        <w:t xml:space="preserve"> (Lietuvos Respublikos teritorijų planavimo įstatymo 2 straipsnio 29</w:t>
      </w:r>
      <w:r>
        <w:rPr>
          <w:rFonts w:ascii="Times New Roman" w:hAnsi="Times New Roman"/>
          <w:sz w:val="24"/>
          <w:szCs w:val="24"/>
          <w:vertAlign w:val="superscript"/>
        </w:rPr>
        <w:t xml:space="preserve">1 </w:t>
      </w:r>
      <w:r>
        <w:rPr>
          <w:rFonts w:ascii="Times New Roman" w:hAnsi="Times New Roman"/>
          <w:sz w:val="24"/>
          <w:szCs w:val="24"/>
        </w:rPr>
        <w:t xml:space="preserve">dalis). </w:t>
      </w:r>
    </w:p>
    <w:p w14:paraId="480D1140" w14:textId="2B65B0A7" w:rsidR="00F158D1" w:rsidRDefault="00F158D1" w:rsidP="006A4A5F">
      <w:pPr>
        <w:pStyle w:val="Betarp"/>
        <w:ind w:firstLine="1296"/>
        <w:jc w:val="both"/>
      </w:pPr>
      <w:r>
        <w:rPr>
          <w:rFonts w:ascii="Times New Roman" w:hAnsi="Times New Roman"/>
          <w:color w:val="000000"/>
          <w:sz w:val="24"/>
          <w:szCs w:val="24"/>
        </w:rPr>
        <w:t xml:space="preserve">Savivaldybės administracija, siekdama pašalinti </w:t>
      </w:r>
      <w:r>
        <w:rPr>
          <w:rFonts w:ascii="Times New Roman" w:hAnsi="Times New Roman"/>
          <w:sz w:val="24"/>
          <w:szCs w:val="24"/>
        </w:rPr>
        <w:t xml:space="preserve">teritorijų planavimo dokumento </w:t>
      </w:r>
      <w:r>
        <w:rPr>
          <w:rFonts w:ascii="Times New Roman" w:hAnsi="Times New Roman"/>
          <w:color w:val="000000"/>
          <w:sz w:val="24"/>
          <w:szCs w:val="24"/>
        </w:rPr>
        <w:t xml:space="preserve">technines klaidas, vadovaudamasi </w:t>
      </w:r>
      <w:r>
        <w:rPr>
          <w:rFonts w:ascii="Times New Roman" w:hAnsi="Times New Roman"/>
          <w:sz w:val="24"/>
          <w:szCs w:val="24"/>
        </w:rPr>
        <w:t xml:space="preserve">Lietuvos Respublikos teritorijų planavimo įstatymo 28 straipsnio 6, 12 dalimis bei Kompleksinio teritorijų planavimo dokumentų rengimo taisyklių 139.2.1, </w:t>
      </w:r>
      <w:bookmarkStart w:id="3" w:name="_Hlk108628685"/>
      <w:r>
        <w:rPr>
          <w:rFonts w:ascii="Times New Roman" w:hAnsi="Times New Roman"/>
          <w:sz w:val="24"/>
          <w:szCs w:val="24"/>
        </w:rPr>
        <w:t xml:space="preserve">143, 144 punktais, </w:t>
      </w:r>
      <w:bookmarkEnd w:id="3"/>
      <w:r>
        <w:rPr>
          <w:rFonts w:ascii="Times New Roman" w:hAnsi="Times New Roman"/>
          <w:sz w:val="24"/>
          <w:szCs w:val="24"/>
        </w:rPr>
        <w:t xml:space="preserve"> </w:t>
      </w:r>
      <w:r w:rsidR="002B075C">
        <w:rPr>
          <w:rFonts w:ascii="Times New Roman" w:hAnsi="Times New Roman"/>
          <w:sz w:val="24"/>
          <w:szCs w:val="24"/>
        </w:rPr>
        <w:t>pa</w:t>
      </w:r>
      <w:r>
        <w:rPr>
          <w:rFonts w:ascii="Times New Roman" w:hAnsi="Times New Roman"/>
          <w:sz w:val="24"/>
          <w:szCs w:val="24"/>
        </w:rPr>
        <w:t>reng</w:t>
      </w:r>
      <w:r w:rsidR="002B075C">
        <w:rPr>
          <w:rFonts w:ascii="Times New Roman" w:hAnsi="Times New Roman"/>
          <w:sz w:val="24"/>
          <w:szCs w:val="24"/>
        </w:rPr>
        <w:t xml:space="preserve">ė </w:t>
      </w:r>
      <w:r>
        <w:rPr>
          <w:rFonts w:ascii="Times New Roman" w:hAnsi="Times New Roman"/>
          <w:sz w:val="24"/>
          <w:szCs w:val="24"/>
        </w:rPr>
        <w:t xml:space="preserve">dokumento koregavimą. </w:t>
      </w:r>
    </w:p>
    <w:p w14:paraId="2FFB9D59" w14:textId="328A71BE" w:rsidR="004F433F" w:rsidRPr="002B075C" w:rsidRDefault="00F158D1" w:rsidP="006A4A5F">
      <w:pPr>
        <w:pStyle w:val="Betarp"/>
        <w:ind w:firstLine="1296"/>
        <w:jc w:val="both"/>
      </w:pPr>
      <w:r>
        <w:rPr>
          <w:rFonts w:ascii="Times New Roman" w:hAnsi="Times New Roman"/>
          <w:b/>
          <w:bCs/>
          <w:i/>
          <w:iCs/>
          <w:color w:val="000000"/>
          <w:sz w:val="24"/>
          <w:szCs w:val="24"/>
        </w:rPr>
        <w:t>Pažymime, kad ši</w:t>
      </w:r>
      <w:r w:rsidR="006A4A5F">
        <w:rPr>
          <w:rFonts w:ascii="Times New Roman" w:hAnsi="Times New Roman"/>
          <w:b/>
          <w:bCs/>
          <w:i/>
          <w:iCs/>
          <w:color w:val="000000"/>
          <w:sz w:val="24"/>
          <w:szCs w:val="24"/>
        </w:rPr>
        <w:t>uo koregavimu</w:t>
      </w:r>
      <w:r w:rsidR="001C2E60">
        <w:rPr>
          <w:rFonts w:ascii="Times New Roman" w:hAnsi="Times New Roman"/>
          <w:b/>
          <w:bCs/>
          <w:i/>
          <w:iCs/>
          <w:color w:val="000000"/>
          <w:sz w:val="24"/>
          <w:szCs w:val="24"/>
        </w:rPr>
        <w:t xml:space="preserve"> </w:t>
      </w:r>
      <w:r>
        <w:rPr>
          <w:rFonts w:ascii="Times New Roman" w:hAnsi="Times New Roman"/>
          <w:b/>
          <w:bCs/>
          <w:i/>
          <w:iCs/>
          <w:color w:val="000000"/>
          <w:sz w:val="24"/>
          <w:szCs w:val="24"/>
        </w:rPr>
        <w:t xml:space="preserve">taisomos tik techninės  klaidos kaip jos suprantamos pagal </w:t>
      </w:r>
      <w:r>
        <w:rPr>
          <w:rFonts w:ascii="Times New Roman" w:hAnsi="Times New Roman"/>
          <w:b/>
          <w:bCs/>
          <w:i/>
          <w:iCs/>
          <w:sz w:val="24"/>
          <w:szCs w:val="24"/>
        </w:rPr>
        <w:t xml:space="preserve">Lietuvos Respublikos </w:t>
      </w:r>
      <w:r w:rsidR="00E27B31">
        <w:rPr>
          <w:rFonts w:ascii="Times New Roman" w:hAnsi="Times New Roman"/>
          <w:b/>
          <w:bCs/>
          <w:i/>
          <w:iCs/>
          <w:sz w:val="24"/>
          <w:szCs w:val="24"/>
        </w:rPr>
        <w:t>TPĮ</w:t>
      </w:r>
      <w:r>
        <w:rPr>
          <w:rFonts w:ascii="Times New Roman" w:hAnsi="Times New Roman"/>
          <w:b/>
          <w:bCs/>
          <w:i/>
          <w:iCs/>
          <w:sz w:val="24"/>
          <w:szCs w:val="24"/>
        </w:rPr>
        <w:t xml:space="preserve"> 2 straipsnio 29</w:t>
      </w:r>
      <w:r>
        <w:rPr>
          <w:rFonts w:ascii="Times New Roman" w:hAnsi="Times New Roman"/>
          <w:b/>
          <w:bCs/>
          <w:i/>
          <w:iCs/>
          <w:sz w:val="24"/>
          <w:szCs w:val="24"/>
          <w:vertAlign w:val="superscript"/>
        </w:rPr>
        <w:t xml:space="preserve">1 </w:t>
      </w:r>
      <w:r>
        <w:rPr>
          <w:rFonts w:ascii="Times New Roman" w:hAnsi="Times New Roman"/>
          <w:b/>
          <w:bCs/>
          <w:i/>
          <w:iCs/>
          <w:sz w:val="24"/>
          <w:szCs w:val="24"/>
        </w:rPr>
        <w:t>dalį</w:t>
      </w:r>
      <w:r>
        <w:rPr>
          <w:rFonts w:ascii="Times New Roman" w:hAnsi="Times New Roman"/>
          <w:b/>
          <w:bCs/>
          <w:i/>
          <w:iCs/>
          <w:color w:val="000000"/>
          <w:sz w:val="24"/>
          <w:szCs w:val="24"/>
        </w:rPr>
        <w:t xml:space="preserve"> . </w:t>
      </w:r>
    </w:p>
    <w:p w14:paraId="405E9055" w14:textId="646A5662" w:rsidR="005E0CC5" w:rsidRDefault="00163721" w:rsidP="006A4A5F">
      <w:pPr>
        <w:ind w:firstLine="720"/>
        <w:jc w:val="both"/>
        <w:rPr>
          <w:color w:val="000000"/>
          <w:lang w:eastAsia="lt-LT"/>
        </w:rPr>
      </w:pPr>
      <w:r>
        <w:t>TPĮ</w:t>
      </w:r>
      <w:r w:rsidRPr="00F5572D">
        <w:t xml:space="preserve"> 2 straipsnio 29</w:t>
      </w:r>
      <w:r w:rsidRPr="00F5572D">
        <w:rPr>
          <w:vertAlign w:val="superscript"/>
        </w:rPr>
        <w:t>1 </w:t>
      </w:r>
      <w:r>
        <w:t>d</w:t>
      </w:r>
      <w:r w:rsidR="005E0CC5">
        <w:rPr>
          <w:color w:val="000000"/>
          <w:lang w:eastAsia="lt-LT"/>
        </w:rPr>
        <w:t>. </w:t>
      </w:r>
      <w:r>
        <w:rPr>
          <w:color w:val="000000"/>
          <w:lang w:eastAsia="lt-LT"/>
        </w:rPr>
        <w:t>,,</w:t>
      </w:r>
      <w:r w:rsidR="005E0CC5">
        <w:rPr>
          <w:b/>
          <w:bCs/>
          <w:color w:val="000000"/>
          <w:lang w:eastAsia="lt-LT"/>
        </w:rPr>
        <w:t>Teritorijų planavimo dokumento techninė klaida</w:t>
      </w:r>
      <w:r w:rsidR="005E0CC5">
        <w:rPr>
          <w:color w:val="000000"/>
          <w:lang w:eastAsia="lt-LT"/>
        </w:rPr>
        <w:t xml:space="preserve"> – </w:t>
      </w:r>
      <w:r w:rsidR="005E0CC5" w:rsidRPr="00163721">
        <w:rPr>
          <w:color w:val="000000"/>
          <w:u w:val="single"/>
          <w:lang w:eastAsia="lt-LT"/>
        </w:rPr>
        <w:t>spausdinimo, skaičiavimo, faktinių duomenų neatitikimo ar kita klaida</w:t>
      </w:r>
      <w:r w:rsidR="005E0CC5">
        <w:rPr>
          <w:color w:val="000000"/>
          <w:lang w:eastAsia="lt-LT"/>
        </w:rPr>
        <w:t>, kurią ištaisius nekinta patvirtinto teritorijų planavimo dokumento sprendinio esmė ir jo atitiktis teritorijos planavimo sąlygoms, pateiktoms rengiant šį teritorijų planavimo dokumentą</w:t>
      </w:r>
      <w:r>
        <w:rPr>
          <w:color w:val="000000"/>
          <w:lang w:eastAsia="lt-LT"/>
        </w:rPr>
        <w:t>“</w:t>
      </w:r>
      <w:r w:rsidR="005E0CC5">
        <w:rPr>
          <w:color w:val="000000"/>
          <w:lang w:eastAsia="lt-LT"/>
        </w:rPr>
        <w:t>.</w:t>
      </w:r>
    </w:p>
    <w:bookmarkEnd w:id="1"/>
    <w:p w14:paraId="14FD3F09" w14:textId="6D40E49B" w:rsidR="00192A52" w:rsidRDefault="006A4A5F" w:rsidP="006A4A5F">
      <w:pPr>
        <w:ind w:firstLine="720"/>
        <w:jc w:val="both"/>
      </w:pPr>
      <w:r>
        <w:t>T</w:t>
      </w:r>
      <w:r w:rsidR="00192A52">
        <w:t>aisomos</w:t>
      </w:r>
      <w:r w:rsidR="00480F2D">
        <w:t xml:space="preserve"> </w:t>
      </w:r>
      <w:r w:rsidR="00192A52">
        <w:t>klaidos</w:t>
      </w:r>
      <w:r>
        <w:t>:</w:t>
      </w:r>
      <w:r w:rsidR="00480F2D">
        <w:t xml:space="preserve"> </w:t>
      </w:r>
    </w:p>
    <w:p w14:paraId="05EFFCE8" w14:textId="6C8B1CDA" w:rsidR="00C75456" w:rsidRDefault="00352A61" w:rsidP="006A4A5F">
      <w:pPr>
        <w:ind w:firstLine="720"/>
        <w:jc w:val="both"/>
        <w:rPr>
          <w:color w:val="FF0000"/>
          <w:sz w:val="22"/>
          <w:szCs w:val="22"/>
        </w:rPr>
      </w:pPr>
      <w:r>
        <w:rPr>
          <w:b/>
          <w:bCs/>
        </w:rPr>
        <w:t xml:space="preserve">Sprendimo </w:t>
      </w:r>
      <w:r w:rsidR="004527F3" w:rsidRPr="000E08F3">
        <w:rPr>
          <w:b/>
          <w:bCs/>
        </w:rPr>
        <w:t>1.1. punkt</w:t>
      </w:r>
      <w:r w:rsidR="00192A52" w:rsidRPr="000E08F3">
        <w:rPr>
          <w:b/>
          <w:bCs/>
        </w:rPr>
        <w:t>as:</w:t>
      </w:r>
      <w:r w:rsidR="00192A52">
        <w:t xml:space="preserve"> </w:t>
      </w:r>
      <w:r w:rsidR="00192A52" w:rsidRPr="00192A52">
        <w:t xml:space="preserve"> </w:t>
      </w:r>
      <w:r w:rsidR="00192A52">
        <w:t xml:space="preserve">Pagrindinio brėžinio reglamentų lentelės </w:t>
      </w:r>
      <w:r w:rsidR="004527F3">
        <w:t>Vidutinio užstatymo intensyvumo gyvenamosiose zonose Nr.</w:t>
      </w:r>
      <w:r w:rsidR="004527F3" w:rsidRPr="005A420C">
        <w:rPr>
          <w:b/>
          <w:bCs/>
        </w:rPr>
        <w:t xml:space="preserve"> </w:t>
      </w:r>
      <w:r w:rsidR="004527F3" w:rsidRPr="003E0542">
        <w:rPr>
          <w:sz w:val="22"/>
          <w:szCs w:val="22"/>
        </w:rPr>
        <w:t>AUK-3-5, AUK-3-1, AUK-2-7</w:t>
      </w:r>
      <w:r w:rsidR="004527F3">
        <w:rPr>
          <w:sz w:val="22"/>
          <w:szCs w:val="22"/>
        </w:rPr>
        <w:t xml:space="preserve"> nėra įrašytas žemės naudojimo būdas G2</w:t>
      </w:r>
      <w:r w:rsidR="00192A52">
        <w:rPr>
          <w:sz w:val="22"/>
          <w:szCs w:val="22"/>
        </w:rPr>
        <w:t xml:space="preserve">. </w:t>
      </w:r>
      <w:r w:rsidR="00192A52" w:rsidRPr="007418BC">
        <w:rPr>
          <w:sz w:val="22"/>
          <w:szCs w:val="22"/>
        </w:rPr>
        <w:t xml:space="preserve">Siūloma </w:t>
      </w:r>
      <w:r w:rsidR="00614565" w:rsidRPr="007418BC">
        <w:rPr>
          <w:sz w:val="22"/>
          <w:szCs w:val="22"/>
        </w:rPr>
        <w:t>papildy</w:t>
      </w:r>
      <w:r w:rsidR="00614565">
        <w:rPr>
          <w:sz w:val="22"/>
          <w:szCs w:val="22"/>
        </w:rPr>
        <w:t>ti</w:t>
      </w:r>
      <w:r w:rsidR="00614565" w:rsidRPr="007418BC">
        <w:rPr>
          <w:sz w:val="22"/>
          <w:szCs w:val="22"/>
        </w:rPr>
        <w:t>, įrašant</w:t>
      </w:r>
      <w:r w:rsidR="00614565" w:rsidRPr="006A3968">
        <w:rPr>
          <w:sz w:val="22"/>
          <w:szCs w:val="22"/>
        </w:rPr>
        <w:t xml:space="preserve"> </w:t>
      </w:r>
      <w:r w:rsidR="00614565" w:rsidRPr="00DC0A1C">
        <w:rPr>
          <w:sz w:val="22"/>
          <w:szCs w:val="22"/>
        </w:rPr>
        <w:t>G2</w:t>
      </w:r>
      <w:r w:rsidR="00614565">
        <w:rPr>
          <w:color w:val="FF0000"/>
          <w:sz w:val="22"/>
          <w:szCs w:val="22"/>
        </w:rPr>
        <w:t xml:space="preserve"> </w:t>
      </w:r>
      <w:r w:rsidR="00614565">
        <w:t>Vidutinio užstatymo intensyvumo gyvenamosiose zonose Nr.</w:t>
      </w:r>
      <w:r w:rsidR="00614565" w:rsidRPr="005A420C">
        <w:rPr>
          <w:b/>
          <w:bCs/>
        </w:rPr>
        <w:t xml:space="preserve"> </w:t>
      </w:r>
      <w:r w:rsidR="00614565" w:rsidRPr="003E0542">
        <w:rPr>
          <w:sz w:val="22"/>
          <w:szCs w:val="22"/>
        </w:rPr>
        <w:t>AUK-3-5, AUK-3-1, AUK-2-7</w:t>
      </w:r>
      <w:r w:rsidR="00614565">
        <w:rPr>
          <w:sz w:val="22"/>
          <w:szCs w:val="22"/>
        </w:rPr>
        <w:t xml:space="preserve">. (žiūr. </w:t>
      </w:r>
      <w:r w:rsidR="00540ED3">
        <w:rPr>
          <w:sz w:val="22"/>
          <w:szCs w:val="22"/>
        </w:rPr>
        <w:t xml:space="preserve">Palyginamajame </w:t>
      </w:r>
      <w:r w:rsidR="0016406C">
        <w:rPr>
          <w:sz w:val="22"/>
          <w:szCs w:val="22"/>
        </w:rPr>
        <w:t>P</w:t>
      </w:r>
      <w:r w:rsidR="00614565">
        <w:rPr>
          <w:sz w:val="22"/>
          <w:szCs w:val="22"/>
        </w:rPr>
        <w:t>ried</w:t>
      </w:r>
      <w:r w:rsidR="00540ED3">
        <w:rPr>
          <w:sz w:val="22"/>
          <w:szCs w:val="22"/>
        </w:rPr>
        <w:t>e</w:t>
      </w:r>
      <w:r w:rsidR="00614565">
        <w:rPr>
          <w:sz w:val="22"/>
          <w:szCs w:val="22"/>
        </w:rPr>
        <w:t>).</w:t>
      </w:r>
      <w:r w:rsidR="00614565">
        <w:rPr>
          <w:color w:val="FF0000"/>
          <w:sz w:val="22"/>
          <w:szCs w:val="22"/>
        </w:rPr>
        <w:t xml:space="preserve"> </w:t>
      </w:r>
    </w:p>
    <w:p w14:paraId="29B4B707" w14:textId="4D283045" w:rsidR="00192A52" w:rsidRPr="00C75456" w:rsidRDefault="00C75456" w:rsidP="006A4A5F">
      <w:pPr>
        <w:ind w:firstLine="720"/>
        <w:jc w:val="both"/>
        <w:rPr>
          <w:i/>
          <w:iCs/>
        </w:rPr>
      </w:pPr>
      <w:r w:rsidRPr="00C75456">
        <w:rPr>
          <w:sz w:val="22"/>
          <w:szCs w:val="22"/>
        </w:rPr>
        <w:t>,,</w:t>
      </w:r>
      <w:r w:rsidRPr="00C75456">
        <w:rPr>
          <w:i/>
          <w:iCs/>
        </w:rPr>
        <w:t>BP pagrindinio brėžinio reglamentų lentelės</w:t>
      </w:r>
      <w:r w:rsidRPr="00C75456">
        <w:rPr>
          <w:b/>
          <w:bCs/>
          <w:i/>
          <w:iCs/>
        </w:rPr>
        <w:t xml:space="preserve"> </w:t>
      </w:r>
      <w:r w:rsidRPr="00C75456">
        <w:rPr>
          <w:i/>
          <w:iCs/>
        </w:rPr>
        <w:t>vidutinio užstatymo intensyvumo gyvenamosiose zonose Nr. AUK-3-5, AUK-3-1, AUK-2-7 įrašyti žemės naudojimo būdą G2</w:t>
      </w:r>
      <w:r>
        <w:rPr>
          <w:i/>
          <w:iCs/>
        </w:rPr>
        <w:t>“</w:t>
      </w:r>
    </w:p>
    <w:p w14:paraId="2900607B" w14:textId="75EA3960" w:rsidR="000913A6" w:rsidRPr="00BA4214" w:rsidRDefault="00352A61" w:rsidP="006A4A5F">
      <w:pPr>
        <w:ind w:firstLine="720"/>
        <w:jc w:val="both"/>
      </w:pPr>
      <w:r>
        <w:rPr>
          <w:b/>
          <w:bCs/>
        </w:rPr>
        <w:t>Sprendimo</w:t>
      </w:r>
      <w:r w:rsidRPr="000E08F3">
        <w:rPr>
          <w:b/>
          <w:bCs/>
        </w:rPr>
        <w:t xml:space="preserve"> </w:t>
      </w:r>
      <w:r w:rsidR="000913A6" w:rsidRPr="000E08F3">
        <w:rPr>
          <w:b/>
          <w:bCs/>
        </w:rPr>
        <w:t xml:space="preserve">1.2. </w:t>
      </w:r>
      <w:r w:rsidR="00540ED3" w:rsidRPr="000E08F3">
        <w:rPr>
          <w:b/>
          <w:bCs/>
        </w:rPr>
        <w:t>punktas:</w:t>
      </w:r>
      <w:r w:rsidR="00540ED3">
        <w:t xml:space="preserve"> </w:t>
      </w:r>
      <w:r w:rsidR="000913A6" w:rsidRPr="00BA4214">
        <w:t>BP brėžinyje ,,Žaliųjų plotų pasiekiamumo schema“</w:t>
      </w:r>
      <w:r w:rsidR="00540ED3">
        <w:t xml:space="preserve"> (</w:t>
      </w:r>
      <w:hyperlink r:id="rId7" w:history="1">
        <w:r w:rsidR="00540ED3">
          <w:rPr>
            <w:rStyle w:val="Hipersaitas"/>
          </w:rPr>
          <w:t>06. Zeldynu pasiekiamumas – 2021-03-18</w:t>
        </w:r>
      </w:hyperlink>
      <w:r w:rsidR="00540ED3">
        <w:rPr>
          <w:rStyle w:val="Hipersaitas"/>
        </w:rPr>
        <w:t>)</w:t>
      </w:r>
      <w:r w:rsidR="00540ED3">
        <w:t xml:space="preserve"> </w:t>
      </w:r>
      <w:r w:rsidR="00540ED3" w:rsidRPr="00422030">
        <w:t xml:space="preserve">pakoreguoti brėžinio tekstą (prie sutartinių ženklų) pagal BP </w:t>
      </w:r>
      <w:r w:rsidR="00540ED3">
        <w:t>A</w:t>
      </w:r>
      <w:r w:rsidR="00540ED3" w:rsidRPr="00422030">
        <w:t>iškinamojo rašto 90</w:t>
      </w:r>
      <w:r w:rsidR="00540ED3">
        <w:t xml:space="preserve"> punktą:</w:t>
      </w:r>
    </w:p>
    <w:p w14:paraId="0E822441" w14:textId="77777777" w:rsidR="000913A6" w:rsidRPr="00C75456" w:rsidRDefault="000913A6" w:rsidP="006A4A5F">
      <w:pPr>
        <w:autoSpaceDE w:val="0"/>
        <w:adjustRightInd w:val="0"/>
        <w:ind w:firstLine="851"/>
        <w:jc w:val="both"/>
        <w:rPr>
          <w:i/>
          <w:iCs/>
        </w:rPr>
      </w:pPr>
      <w:r w:rsidRPr="00C75456">
        <w:rPr>
          <w:i/>
          <w:iCs/>
        </w:rPr>
        <w:t xml:space="preserve">,, * Teritorijos, kurių gyventojai nutolę nuo želdynų ir miškų: </w:t>
      </w:r>
    </w:p>
    <w:p w14:paraId="31B595B9" w14:textId="77777777" w:rsidR="000913A6" w:rsidRPr="00C75456" w:rsidRDefault="000913A6" w:rsidP="006A4A5F">
      <w:pPr>
        <w:autoSpaceDE w:val="0"/>
        <w:adjustRightInd w:val="0"/>
        <w:ind w:firstLine="851"/>
        <w:jc w:val="both"/>
        <w:rPr>
          <w:i/>
          <w:iCs/>
        </w:rPr>
      </w:pPr>
      <w:r w:rsidRPr="00C75456">
        <w:rPr>
          <w:i/>
          <w:iCs/>
        </w:rPr>
        <w:t xml:space="preserve">1. iki 200 m pasiekiamumo spinduliu dideliam užstatymo intensyvumui; </w:t>
      </w:r>
    </w:p>
    <w:p w14:paraId="1E3DB852" w14:textId="77777777" w:rsidR="000913A6" w:rsidRPr="00C75456" w:rsidRDefault="000913A6" w:rsidP="006A4A5F">
      <w:pPr>
        <w:autoSpaceDE w:val="0"/>
        <w:adjustRightInd w:val="0"/>
        <w:ind w:firstLine="851"/>
        <w:jc w:val="both"/>
        <w:rPr>
          <w:i/>
          <w:iCs/>
        </w:rPr>
      </w:pPr>
      <w:r w:rsidRPr="00C75456">
        <w:rPr>
          <w:i/>
          <w:iCs/>
        </w:rPr>
        <w:t>2. iki 300 m pasiekiamumo spinduliu vidutiniam, mažam ir ekstensyviam užstatymo intensyvumui.“;</w:t>
      </w:r>
    </w:p>
    <w:p w14:paraId="40D4DAA9" w14:textId="32A235AB" w:rsidR="000913A6" w:rsidRPr="00BA4214" w:rsidRDefault="000913A6" w:rsidP="006A4A5F">
      <w:pPr>
        <w:autoSpaceDE w:val="0"/>
        <w:adjustRightInd w:val="0"/>
        <w:ind w:firstLine="851"/>
        <w:jc w:val="both"/>
      </w:pPr>
      <w:r w:rsidRPr="00C75456">
        <w:rPr>
          <w:i/>
          <w:iCs/>
        </w:rPr>
        <w:t>1.2.2. patikslinti brėžinį, padidinant pasiekiamumą vidutiniam užstatymo intensyvumui – vietoj 200 m numatant 300 m;</w:t>
      </w:r>
      <w:r w:rsidR="00540ED3">
        <w:t xml:space="preserve"> </w:t>
      </w:r>
      <w:r w:rsidR="00540ED3">
        <w:rPr>
          <w:sz w:val="22"/>
          <w:szCs w:val="22"/>
        </w:rPr>
        <w:t>(</w:t>
      </w:r>
      <w:r w:rsidR="00352A61">
        <w:rPr>
          <w:sz w:val="22"/>
          <w:szCs w:val="22"/>
        </w:rPr>
        <w:t>pridedama</w:t>
      </w:r>
      <w:r w:rsidR="00540ED3">
        <w:rPr>
          <w:sz w:val="22"/>
          <w:szCs w:val="22"/>
        </w:rPr>
        <w:t>).</w:t>
      </w:r>
    </w:p>
    <w:p w14:paraId="010C6D3B" w14:textId="0904933B" w:rsidR="00C75456" w:rsidRPr="00BA4214" w:rsidRDefault="00352A61" w:rsidP="006A4A5F">
      <w:pPr>
        <w:autoSpaceDE w:val="0"/>
        <w:adjustRightInd w:val="0"/>
        <w:ind w:firstLine="851"/>
        <w:jc w:val="both"/>
      </w:pPr>
      <w:r>
        <w:rPr>
          <w:b/>
          <w:bCs/>
        </w:rPr>
        <w:t>Sprendimo</w:t>
      </w:r>
      <w:r w:rsidRPr="000E08F3">
        <w:rPr>
          <w:b/>
          <w:bCs/>
        </w:rPr>
        <w:t xml:space="preserve"> </w:t>
      </w:r>
      <w:r w:rsidR="000913A6" w:rsidRPr="000E08F3">
        <w:rPr>
          <w:b/>
          <w:bCs/>
        </w:rPr>
        <w:t xml:space="preserve">1.3. </w:t>
      </w:r>
      <w:r w:rsidR="00C75456" w:rsidRPr="000E08F3">
        <w:rPr>
          <w:b/>
          <w:bCs/>
        </w:rPr>
        <w:t>punktas:</w:t>
      </w:r>
      <w:r w:rsidR="00C75456" w:rsidRPr="00C75456">
        <w:t xml:space="preserve"> </w:t>
      </w:r>
      <w:r w:rsidR="00C75456" w:rsidRPr="00BA4214">
        <w:t xml:space="preserve">BP </w:t>
      </w:r>
      <w:r w:rsidR="00C75456">
        <w:t>A</w:t>
      </w:r>
      <w:r w:rsidR="00C75456" w:rsidRPr="00BA4214">
        <w:t>iškinamojo rašto 2-2 priedo ,,Nekilnojamasis kultūros paveldas. Detalizuoti Vilniaus Senamiesčio (kodas 16073) vizualinės apsaugos pozonio (priemiesčių teritorijų) sprendiniai“</w:t>
      </w:r>
      <w:r w:rsidR="00C75456">
        <w:t xml:space="preserve"> Reglamentų lentelėse (sklityje ,,Tyrimai/kaita“), daug kur pažymėta privalomi archeologiniai tyrimai, tačiau kur tokių tyrimų poreikis nenurodytas, pažymėta žvaigždute </w:t>
      </w:r>
      <w:r w:rsidR="00C75456" w:rsidRPr="00BA4214">
        <w:t>(*)</w:t>
      </w:r>
      <w:r w:rsidR="00C75456">
        <w:t>, bet nepaaiškinta, ką ji reiškia. Todėl siūloma papildyti Priedo 2-2</w:t>
      </w:r>
      <w:r w:rsidR="00C75456" w:rsidRPr="00BA4214">
        <w:t xml:space="preserve"> pastabas  8 punktu:</w:t>
      </w:r>
    </w:p>
    <w:p w14:paraId="53ECFB64" w14:textId="14693FEB" w:rsidR="000913A6" w:rsidRPr="00C75456" w:rsidRDefault="000913A6" w:rsidP="006A4A5F">
      <w:pPr>
        <w:autoSpaceDE w:val="0"/>
        <w:adjustRightInd w:val="0"/>
        <w:ind w:firstLine="851"/>
        <w:jc w:val="both"/>
        <w:rPr>
          <w:i/>
          <w:iCs/>
        </w:rPr>
      </w:pPr>
      <w:r w:rsidRPr="00C75456">
        <w:rPr>
          <w:i/>
          <w:iCs/>
        </w:rPr>
        <w:t>,,8. Žvaigždutė (*) reiškia, kad archeologiniai tyrimai nėra privalomi (atliekami pareikalavus Kultūros paveldo departamentui).“</w:t>
      </w:r>
    </w:p>
    <w:p w14:paraId="4616D358" w14:textId="4746E1B0" w:rsidR="004B0446" w:rsidRPr="004B0446" w:rsidRDefault="00352A61" w:rsidP="006A4A5F">
      <w:pPr>
        <w:ind w:firstLine="851"/>
        <w:jc w:val="both"/>
      </w:pPr>
      <w:r>
        <w:rPr>
          <w:b/>
          <w:bCs/>
        </w:rPr>
        <w:t>Sprendimo</w:t>
      </w:r>
      <w:r w:rsidRPr="00206AF7">
        <w:rPr>
          <w:b/>
          <w:bCs/>
        </w:rPr>
        <w:t xml:space="preserve"> </w:t>
      </w:r>
      <w:r w:rsidR="000913A6" w:rsidRPr="00206AF7">
        <w:rPr>
          <w:b/>
          <w:bCs/>
        </w:rPr>
        <w:t xml:space="preserve">1.4. </w:t>
      </w:r>
      <w:r w:rsidR="004B0446" w:rsidRPr="00206AF7">
        <w:rPr>
          <w:b/>
          <w:bCs/>
        </w:rPr>
        <w:t>punktas:</w:t>
      </w:r>
      <w:r w:rsidR="004B0446">
        <w:rPr>
          <w:b/>
          <w:bCs/>
        </w:rPr>
        <w:t xml:space="preserve"> </w:t>
      </w:r>
      <w:r w:rsidR="004B0446" w:rsidRPr="00BA4214">
        <w:t xml:space="preserve">BP </w:t>
      </w:r>
      <w:r w:rsidR="004B0446">
        <w:t>A</w:t>
      </w:r>
      <w:r w:rsidR="004B0446" w:rsidRPr="00BA4214">
        <w:t xml:space="preserve">iškinamojo rašto </w:t>
      </w:r>
      <w:r w:rsidR="004B0446">
        <w:t>P</w:t>
      </w:r>
      <w:r w:rsidR="004B0446" w:rsidRPr="00BA4214">
        <w:t>ried</w:t>
      </w:r>
      <w:r w:rsidR="004B0446">
        <w:t>as 3 ,,Išorinės reklamos įrengimo reglamentai“. Reglamentų lentelės pastabose (punkte 3) nėra nurodyta koks minimalus atstumas turi būti tarp vidutinio formato įrenginių. Todėl siūloma papildyti AR rašto 3 priedą sekančiai:</w:t>
      </w:r>
    </w:p>
    <w:p w14:paraId="45751487" w14:textId="0EBD8618" w:rsidR="000913A6" w:rsidRPr="004B0446" w:rsidRDefault="00EA5C2E" w:rsidP="006A4A5F">
      <w:pPr>
        <w:ind w:firstLine="851"/>
        <w:jc w:val="both"/>
        <w:rPr>
          <w:i/>
          <w:iCs/>
        </w:rPr>
      </w:pPr>
      <w:r>
        <w:rPr>
          <w:i/>
          <w:iCs/>
        </w:rPr>
        <w:t>,,</w:t>
      </w:r>
      <w:r w:rsidR="000913A6" w:rsidRPr="004B0446">
        <w:rPr>
          <w:i/>
          <w:iCs/>
        </w:rPr>
        <w:t>BP aiškinamojo rašto 3 priedo „Išorinės reklamos įrengimo reglamentai“:</w:t>
      </w:r>
    </w:p>
    <w:p w14:paraId="37A159C8" w14:textId="77777777" w:rsidR="000913A6" w:rsidRPr="004B0446" w:rsidRDefault="000913A6" w:rsidP="006A4A5F">
      <w:pPr>
        <w:ind w:firstLine="851"/>
        <w:jc w:val="both"/>
        <w:rPr>
          <w:i/>
          <w:iCs/>
        </w:rPr>
      </w:pPr>
      <w:r w:rsidRPr="004B0446">
        <w:rPr>
          <w:i/>
          <w:iCs/>
        </w:rPr>
        <w:t xml:space="preserve">1.4.1. Reglamentų lentelės pastabas papildyti nauju 3.3 papunkčiu: </w:t>
      </w:r>
    </w:p>
    <w:p w14:paraId="43FE2639" w14:textId="77777777" w:rsidR="000913A6" w:rsidRPr="004B0446" w:rsidRDefault="000913A6" w:rsidP="006A4A5F">
      <w:pPr>
        <w:ind w:firstLine="851"/>
        <w:jc w:val="both"/>
        <w:rPr>
          <w:i/>
          <w:iCs/>
        </w:rPr>
      </w:pPr>
      <w:r w:rsidRPr="004B0446">
        <w:rPr>
          <w:i/>
          <w:iCs/>
        </w:rPr>
        <w:lastRenderedPageBreak/>
        <w:t xml:space="preserve">,,3.3. tarp vidutinio formato stendų – ne mažiau 60 m, kai įrengiama toje pačioje gatvės pusėje;“ </w:t>
      </w:r>
    </w:p>
    <w:p w14:paraId="080D2703" w14:textId="35D07E47" w:rsidR="000913A6" w:rsidRDefault="000913A6" w:rsidP="006A4A5F">
      <w:pPr>
        <w:ind w:firstLine="851"/>
        <w:jc w:val="both"/>
        <w:rPr>
          <w:i/>
          <w:iCs/>
        </w:rPr>
      </w:pPr>
      <w:r w:rsidRPr="004B0446">
        <w:rPr>
          <w:i/>
          <w:iCs/>
        </w:rPr>
        <w:t>1.4.2. buvusius 3.3 ir 3.4 papunkčius laikyti atitinkamai 3.4 ir 3.5 papunkčiais;</w:t>
      </w:r>
      <w:r w:rsidR="00EA5C2E">
        <w:rPr>
          <w:i/>
          <w:iCs/>
        </w:rPr>
        <w:t>“</w:t>
      </w:r>
      <w:r w:rsidR="004B0446" w:rsidRPr="004B0446">
        <w:rPr>
          <w:sz w:val="22"/>
          <w:szCs w:val="22"/>
        </w:rPr>
        <w:t xml:space="preserve"> </w:t>
      </w:r>
      <w:r w:rsidR="004B0446">
        <w:rPr>
          <w:sz w:val="22"/>
          <w:szCs w:val="22"/>
        </w:rPr>
        <w:t xml:space="preserve">(žiūr. Palyginamajame </w:t>
      </w:r>
      <w:r w:rsidR="0016406C">
        <w:rPr>
          <w:sz w:val="22"/>
          <w:szCs w:val="22"/>
        </w:rPr>
        <w:t>P</w:t>
      </w:r>
      <w:r w:rsidR="004B0446">
        <w:rPr>
          <w:sz w:val="22"/>
          <w:szCs w:val="22"/>
        </w:rPr>
        <w:t>riede).</w:t>
      </w:r>
      <w:r w:rsidRPr="004B0446">
        <w:rPr>
          <w:i/>
          <w:iCs/>
        </w:rPr>
        <w:t xml:space="preserve"> </w:t>
      </w:r>
    </w:p>
    <w:p w14:paraId="37B6EDB0" w14:textId="72A1791D" w:rsidR="00EA5C2E" w:rsidRPr="007748B1" w:rsidRDefault="00352A61" w:rsidP="006A4A5F">
      <w:pPr>
        <w:ind w:firstLine="851"/>
        <w:jc w:val="both"/>
      </w:pPr>
      <w:r>
        <w:rPr>
          <w:b/>
          <w:bCs/>
        </w:rPr>
        <w:t>Sprendimo</w:t>
      </w:r>
      <w:r w:rsidRPr="00206AF7">
        <w:rPr>
          <w:b/>
          <w:bCs/>
        </w:rPr>
        <w:t xml:space="preserve"> </w:t>
      </w:r>
      <w:r w:rsidR="004B0446" w:rsidRPr="00206AF7">
        <w:rPr>
          <w:b/>
          <w:bCs/>
        </w:rPr>
        <w:t>1.5</w:t>
      </w:r>
      <w:r w:rsidR="00EA5C2E" w:rsidRPr="00206AF7">
        <w:rPr>
          <w:b/>
          <w:bCs/>
        </w:rPr>
        <w:t>. punktas:</w:t>
      </w:r>
      <w:r w:rsidR="00EA5C2E">
        <w:t xml:space="preserve"> D</w:t>
      </w:r>
      <w:r w:rsidR="00EA5C2E" w:rsidRPr="004F1E7A">
        <w:t>a</w:t>
      </w:r>
      <w:r w:rsidR="00EA5C2E">
        <w:t xml:space="preserve">lyje funkcinių zonų nėra naudojimo būdo </w:t>
      </w:r>
      <w:r w:rsidR="00EA5C2E" w:rsidRPr="007748B1">
        <w:t>I1</w:t>
      </w:r>
      <w:r w:rsidR="00EA5C2E">
        <w:t>_</w:t>
      </w:r>
      <w:r w:rsidR="00EA5C2E" w:rsidRPr="007748B1">
        <w:rPr>
          <w:rFonts w:ascii="Calibri" w:eastAsiaTheme="minorHAnsi" w:hAnsi="Calibri" w:cs="Calibri"/>
          <w:color w:val="000000"/>
          <w:sz w:val="20"/>
          <w:szCs w:val="20"/>
        </w:rPr>
        <w:t xml:space="preserve"> </w:t>
      </w:r>
      <w:r w:rsidR="00EA5C2E" w:rsidRPr="004F1E7A">
        <w:rPr>
          <w:rFonts w:eastAsiaTheme="minorHAnsi"/>
          <w:i/>
          <w:iCs/>
          <w:color w:val="000000"/>
        </w:rPr>
        <w:t>Susisiekimo ir inžinerinių komunikacijų aptarnavimo objektų teritorijos</w:t>
      </w:r>
      <w:r w:rsidR="00EA5C2E">
        <w:rPr>
          <w:rFonts w:eastAsiaTheme="minorHAnsi"/>
          <w:color w:val="000000"/>
        </w:rPr>
        <w:t xml:space="preserve"> </w:t>
      </w:r>
      <w:r w:rsidR="00EA5C2E" w:rsidRPr="007748B1">
        <w:rPr>
          <w:rFonts w:eastAsiaTheme="minorHAnsi"/>
          <w:color w:val="000000"/>
        </w:rPr>
        <w:t>(</w:t>
      </w:r>
      <w:r w:rsidR="00EA5C2E" w:rsidRPr="004F1E7A">
        <w:rPr>
          <w:rFonts w:eastAsiaTheme="minorHAnsi"/>
          <w:color w:val="000000"/>
        </w:rPr>
        <w:t>Žemės sklypai, skirti transporto paskirties pastatams ir garažų paskirties pastatams, elektroninių ryšių infrastruktūros (perdavimo bokštams, radijo ryšio statiniams, ryšio retransliatoriams ir kitiems inžineriniams statiniams), inžinerinių tinklų maitinimo šaltinių (įvairių tipų elektrinėms, katilinėms, transformatorių pastotėms, skirstykloms, naftos perdirbimo ir kitiems pastatams, skirtiems energijos ar energijos išteklių gavybai, gamybai, perdirbimui, išskyrus atominę</w:t>
      </w:r>
      <w:r w:rsidR="00EA5C2E">
        <w:rPr>
          <w:rFonts w:ascii="Calibri" w:eastAsiaTheme="minorHAnsi" w:hAnsi="Calibri" w:cs="Calibri"/>
          <w:color w:val="000000"/>
          <w:sz w:val="20"/>
          <w:szCs w:val="20"/>
        </w:rPr>
        <w:t>)</w:t>
      </w:r>
    </w:p>
    <w:p w14:paraId="7FC948CF" w14:textId="7957D62D" w:rsidR="00EA5C2E" w:rsidRPr="00EA5C2E" w:rsidRDefault="00EA5C2E" w:rsidP="006A4A5F">
      <w:pPr>
        <w:ind w:firstLine="851"/>
        <w:jc w:val="both"/>
        <w:rPr>
          <w:i/>
          <w:iCs/>
        </w:rPr>
      </w:pPr>
      <w:r>
        <w:t xml:space="preserve">Todėl siūloma papildyti visas funkcines zonas, kuriose yra žemės naudojimo būdai </w:t>
      </w:r>
      <w:r w:rsidRPr="00962201">
        <w:rPr>
          <w:i/>
          <w:iCs/>
        </w:rPr>
        <w:t>G1</w:t>
      </w:r>
      <w:r>
        <w:t xml:space="preserve"> (</w:t>
      </w:r>
      <w:r w:rsidRPr="00962201">
        <w:rPr>
          <w:rFonts w:eastAsiaTheme="minorHAnsi"/>
          <w:color w:val="000000"/>
        </w:rPr>
        <w:t>Vienbučių ir dvibučių gyvenamųjų pastatų teritorijos</w:t>
      </w:r>
      <w:r>
        <w:rPr>
          <w:rFonts w:eastAsiaTheme="minorHAnsi"/>
          <w:color w:val="000000"/>
        </w:rPr>
        <w:t>)</w:t>
      </w:r>
      <w:r w:rsidRPr="00BA4214">
        <w:t xml:space="preserve">, </w:t>
      </w:r>
      <w:r w:rsidRPr="00962201">
        <w:rPr>
          <w:i/>
          <w:iCs/>
        </w:rPr>
        <w:t xml:space="preserve">G2 </w:t>
      </w:r>
      <w:r>
        <w:t>(</w:t>
      </w:r>
      <w:r w:rsidRPr="00962201">
        <w:rPr>
          <w:rFonts w:eastAsiaTheme="minorHAnsi"/>
          <w:color w:val="000000"/>
        </w:rPr>
        <w:t>Daugiabučių gyvenamųjų pastatų ir bendrabučių teritorijos</w:t>
      </w:r>
      <w:r>
        <w:rPr>
          <w:rFonts w:eastAsiaTheme="minorHAnsi"/>
          <w:color w:val="000000"/>
        </w:rPr>
        <w:t>)</w:t>
      </w:r>
      <w:r w:rsidRPr="00962201">
        <w:t xml:space="preserve">, </w:t>
      </w:r>
      <w:r w:rsidRPr="00962201">
        <w:rPr>
          <w:i/>
          <w:iCs/>
        </w:rPr>
        <w:t>K</w:t>
      </w:r>
      <w:r w:rsidRPr="00962201">
        <w:t xml:space="preserve"> </w:t>
      </w:r>
      <w:r>
        <w:t>(</w:t>
      </w:r>
      <w:r w:rsidRPr="00962201">
        <w:rPr>
          <w:rFonts w:eastAsiaTheme="minorHAnsi"/>
          <w:color w:val="000000"/>
        </w:rPr>
        <w:t>Komercinės paskirties objektų teritorijos</w:t>
      </w:r>
      <w:r>
        <w:rPr>
          <w:rFonts w:eastAsiaTheme="minorHAnsi"/>
          <w:color w:val="000000"/>
        </w:rPr>
        <w:t>)</w:t>
      </w:r>
      <w:r w:rsidRPr="00962201">
        <w:t xml:space="preserve">, </w:t>
      </w:r>
      <w:r w:rsidRPr="00962201">
        <w:rPr>
          <w:i/>
          <w:iCs/>
        </w:rPr>
        <w:t>V</w:t>
      </w:r>
      <w:r w:rsidRPr="00962201">
        <w:t xml:space="preserve"> </w:t>
      </w:r>
      <w:r>
        <w:t>(</w:t>
      </w:r>
      <w:r w:rsidRPr="00962201">
        <w:rPr>
          <w:rFonts w:eastAsiaTheme="minorHAnsi"/>
          <w:color w:val="000000"/>
        </w:rPr>
        <w:t>Visuomeninės paskirties teritorijos</w:t>
      </w:r>
      <w:r>
        <w:rPr>
          <w:rFonts w:eastAsiaTheme="minorHAnsi"/>
          <w:color w:val="000000"/>
        </w:rPr>
        <w:t>)</w:t>
      </w:r>
      <w:r w:rsidRPr="00962201">
        <w:t xml:space="preserve">, </w:t>
      </w:r>
      <w:r w:rsidRPr="00962201">
        <w:rPr>
          <w:i/>
          <w:iCs/>
        </w:rPr>
        <w:t>P</w:t>
      </w:r>
      <w:r w:rsidRPr="00962201">
        <w:t xml:space="preserve"> </w:t>
      </w:r>
      <w:r>
        <w:t>(</w:t>
      </w:r>
      <w:r w:rsidRPr="00962201">
        <w:rPr>
          <w:rFonts w:eastAsiaTheme="minorHAnsi"/>
          <w:color w:val="000000"/>
        </w:rPr>
        <w:t>Pramonės ir sandėliavimo objektų teritorijos</w:t>
      </w:r>
      <w:r>
        <w:rPr>
          <w:rFonts w:eastAsiaTheme="minorHAnsi"/>
          <w:color w:val="000000"/>
        </w:rPr>
        <w:t xml:space="preserve">) </w:t>
      </w:r>
      <w:r>
        <w:t xml:space="preserve"> </w:t>
      </w:r>
      <w:r w:rsidRPr="007748B1">
        <w:t>I1</w:t>
      </w:r>
      <w:r>
        <w:t xml:space="preserve"> naudojimo būdu</w:t>
      </w:r>
      <w:r w:rsidR="00352A61">
        <w:t>.</w:t>
      </w:r>
    </w:p>
    <w:p w14:paraId="7B9E4A72" w14:textId="700F201E" w:rsidR="000913A6" w:rsidRPr="004B0446" w:rsidRDefault="00EA5C2E" w:rsidP="006A4A5F">
      <w:pPr>
        <w:ind w:firstLine="851"/>
        <w:jc w:val="both"/>
        <w:rPr>
          <w:i/>
          <w:iCs/>
        </w:rPr>
      </w:pPr>
      <w:r>
        <w:rPr>
          <w:i/>
          <w:iCs/>
        </w:rPr>
        <w:t>,,</w:t>
      </w:r>
      <w:r w:rsidR="000913A6" w:rsidRPr="004B0446">
        <w:rPr>
          <w:i/>
          <w:iCs/>
        </w:rPr>
        <w:t>1.5. BP funkcines zonas, kuriose numatyti žemės naudojimo būdai G1, G2, K, V, P, papildyti žemės naudojimo būdu I1</w:t>
      </w:r>
      <w:r>
        <w:rPr>
          <w:i/>
          <w:iCs/>
        </w:rPr>
        <w:t>“</w:t>
      </w:r>
      <w:r w:rsidR="000913A6" w:rsidRPr="004B0446">
        <w:rPr>
          <w:i/>
          <w:iCs/>
        </w:rPr>
        <w:t xml:space="preserve">. </w:t>
      </w:r>
    </w:p>
    <w:p w14:paraId="5EDD2D44" w14:textId="0097240B" w:rsidR="00B3511F" w:rsidRDefault="00B3511F" w:rsidP="006A4A5F">
      <w:pPr>
        <w:autoSpaceDE w:val="0"/>
        <w:adjustRightInd w:val="0"/>
        <w:jc w:val="both"/>
      </w:pPr>
    </w:p>
    <w:p w14:paraId="1B6000D7" w14:textId="55A52F6F" w:rsidR="00475E5A" w:rsidRDefault="00A43B64" w:rsidP="006A4A5F">
      <w:pPr>
        <w:jc w:val="both"/>
        <w:rPr>
          <w:b/>
          <w:lang w:eastAsia="lt-LT"/>
        </w:rPr>
      </w:pPr>
      <w:r>
        <w:rPr>
          <w:b/>
          <w:lang w:eastAsia="lt-LT"/>
        </w:rPr>
        <w:t>2. Šiuo metu galiojančios ir teikiamu klausimu siūlomos naujos teisinio reguliavimo nuostatos</w:t>
      </w:r>
    </w:p>
    <w:p w14:paraId="0AE674E9" w14:textId="2128FD55" w:rsidR="00352A61" w:rsidRPr="00D92DFE" w:rsidRDefault="005A6B4E" w:rsidP="006A4A5F">
      <w:pPr>
        <w:ind w:firstLine="709"/>
        <w:jc w:val="both"/>
        <w:rPr>
          <w:lang w:eastAsia="lt-LT"/>
        </w:rPr>
      </w:pPr>
      <w:r w:rsidRPr="00D92DFE">
        <w:t>Vilniaus miesto savivaldybės teritorijos bendrojo</w:t>
      </w:r>
      <w:r w:rsidR="00F158D1">
        <w:t xml:space="preserve"> koregavimas, taisant technines klaidas</w:t>
      </w:r>
      <w:r w:rsidR="007D7758">
        <w:t>,</w:t>
      </w:r>
      <w:r w:rsidRPr="00D92DFE">
        <w:t xml:space="preserve"> parengta</w:t>
      </w:r>
      <w:r w:rsidR="00F158D1">
        <w:t>s</w:t>
      </w:r>
      <w:r w:rsidRPr="00D92DFE">
        <w:t xml:space="preserve"> vadovaujantis </w:t>
      </w:r>
      <w:r w:rsidR="00352A61" w:rsidRPr="00F5572D">
        <w:t>Lietuvos Respublikos vietos savivaldos įstatymo 6 straipsnio 19 punktu, 18 straipsnio 1 dalimi, Lietuvos Respublikos teritorijų planavimo įstatymo 2 straipsnio 29</w:t>
      </w:r>
      <w:r w:rsidR="00352A61" w:rsidRPr="00F5572D">
        <w:rPr>
          <w:vertAlign w:val="superscript"/>
        </w:rPr>
        <w:t>1 </w:t>
      </w:r>
      <w:r w:rsidR="00352A61">
        <w:t>dalimi</w:t>
      </w:r>
      <w:r w:rsidR="00352A61" w:rsidRPr="00F5572D">
        <w:t xml:space="preserve">, 28 straipsnio 3, 6 ir 12 dalimis, 31 straipsnio 2 dalimi, 39 straipsnio 1 ir 3 dalimis, Lietuvos Respublikos aplinkos ministro 2014 m. sausio 2 d. įsakymu Nr. D1-8 </w:t>
      </w:r>
      <w:r w:rsidR="00352A61">
        <w:t>,,</w:t>
      </w:r>
      <w:r w:rsidR="00352A61" w:rsidRPr="00F5572D">
        <w:t>Dėl kompleksinio teritorijų planavimo dokumentų rengimo taisyklių patvirtinimo“</w:t>
      </w:r>
      <w:r w:rsidR="00352A61">
        <w:t xml:space="preserve"> </w:t>
      </w:r>
      <w:r w:rsidR="00352A61" w:rsidRPr="00F5572D">
        <w:t xml:space="preserve">patvirtintų Kompleksinio teritorijų planavimo dokumentų rengimo taisyklių </w:t>
      </w:r>
      <w:r w:rsidR="00352A61">
        <w:t>1</w:t>
      </w:r>
      <w:r w:rsidR="00352A61" w:rsidRPr="00F5572D">
        <w:t>3</w:t>
      </w:r>
      <w:r w:rsidR="00352A61">
        <w:t>9</w:t>
      </w:r>
      <w:r w:rsidR="00352A61" w:rsidRPr="00F5572D">
        <w:t>.2.1 papunkčiu,</w:t>
      </w:r>
      <w:r w:rsidR="007D7758">
        <w:t xml:space="preserve"> 143, 144 punktais,</w:t>
      </w:r>
      <w:r w:rsidR="00352A61" w:rsidRPr="00F5572D">
        <w:t xml:space="preserve"> </w:t>
      </w:r>
      <w:r w:rsidR="00352A61" w:rsidRPr="00F5572D">
        <w:rPr>
          <w:shd w:val="clear" w:color="auto" w:fill="FFFFFF"/>
        </w:rPr>
        <w:t xml:space="preserve">Vilniaus miesto savivaldybės tarybos 2021 m. birželio 2 d. sprendimu Nr. 1-972 „Dėl Vilniaus miesto savivaldybės teritorijos bendrojo plano keitimo tvirtinimo“ (Lietuvos Respublikos teritorijų planavimo dokumentų registre (TPDR) </w:t>
      </w:r>
      <w:r w:rsidR="00352A61" w:rsidRPr="003A655B">
        <w:rPr>
          <w:shd w:val="clear" w:color="auto" w:fill="FFFFFF"/>
        </w:rPr>
        <w:t>registruotas</w:t>
      </w:r>
      <w:r w:rsidR="00352A61" w:rsidRPr="00BA4214">
        <w:rPr>
          <w:shd w:val="clear" w:color="auto" w:fill="FFFFFF"/>
        </w:rPr>
        <w:t xml:space="preserve"> </w:t>
      </w:r>
      <w:r w:rsidR="00352A61" w:rsidRPr="009F42EC">
        <w:rPr>
          <w:shd w:val="clear" w:color="auto" w:fill="FFFFFF"/>
        </w:rPr>
        <w:t xml:space="preserve">2021 m. birželio 8 d. </w:t>
      </w:r>
      <w:r w:rsidR="00352A61" w:rsidRPr="00F5572D">
        <w:rPr>
          <w:shd w:val="clear" w:color="auto" w:fill="FFFFFF"/>
        </w:rPr>
        <w:t>– TPD Nr. T00086338</w:t>
      </w:r>
      <w:r w:rsidR="00352A61" w:rsidRPr="00F5572D">
        <w:rPr>
          <w:rFonts w:ascii="Roboto" w:hAnsi="Roboto"/>
          <w:sz w:val="21"/>
          <w:szCs w:val="21"/>
          <w:shd w:val="clear" w:color="auto" w:fill="FFFFFF"/>
        </w:rPr>
        <w:t>)</w:t>
      </w:r>
      <w:r w:rsidR="00352A61" w:rsidRPr="00F5572D">
        <w:rPr>
          <w:shd w:val="clear" w:color="auto" w:fill="FFFFFF"/>
        </w:rPr>
        <w:t>,</w:t>
      </w:r>
      <w:r w:rsidR="00352A61" w:rsidRPr="00F5572D">
        <w:rPr>
          <w:rFonts w:ascii="Roboto" w:hAnsi="Roboto"/>
          <w:sz w:val="21"/>
          <w:szCs w:val="21"/>
          <w:shd w:val="clear" w:color="auto" w:fill="FFFFFF"/>
        </w:rPr>
        <w:t xml:space="preserve"> </w:t>
      </w:r>
      <w:r w:rsidR="00F158D1" w:rsidRPr="00F158D1">
        <w:rPr>
          <w:shd w:val="clear" w:color="auto" w:fill="FFFFFF"/>
        </w:rPr>
        <w:t>patvirtintu bendruoju planu</w:t>
      </w:r>
      <w:r w:rsidR="00F158D1">
        <w:rPr>
          <w:rFonts w:ascii="Roboto" w:hAnsi="Roboto"/>
          <w:sz w:val="21"/>
          <w:szCs w:val="21"/>
          <w:shd w:val="clear" w:color="auto" w:fill="FFFFFF"/>
        </w:rPr>
        <w:t>.</w:t>
      </w:r>
    </w:p>
    <w:p w14:paraId="4D0CEE81" w14:textId="24529A2A" w:rsidR="00475E5A" w:rsidRDefault="00475E5A" w:rsidP="006A4A5F">
      <w:pPr>
        <w:ind w:firstLine="1296"/>
        <w:jc w:val="both"/>
      </w:pPr>
    </w:p>
    <w:p w14:paraId="04269FC3" w14:textId="77777777" w:rsidR="00475E5A" w:rsidRDefault="00A43B64">
      <w:pPr>
        <w:rPr>
          <w:b/>
          <w:szCs w:val="20"/>
          <w:lang w:eastAsia="lt-LT"/>
        </w:rPr>
      </w:pPr>
      <w:r>
        <w:rPr>
          <w:b/>
          <w:szCs w:val="20"/>
          <w:lang w:eastAsia="lt-LT"/>
        </w:rPr>
        <w:t>3. Galimos teigiamos ar neigiamos priimto teisės akto pasekmės, kokių priemonių būtina imtis, siekiant pastarųjų išvengti</w:t>
      </w:r>
    </w:p>
    <w:p w14:paraId="58CBA799" w14:textId="77777777" w:rsidR="00475E5A" w:rsidRDefault="00A43B64" w:rsidP="00410D3B">
      <w:pPr>
        <w:rPr>
          <w:szCs w:val="20"/>
          <w:lang w:eastAsia="lt-LT"/>
        </w:rPr>
      </w:pPr>
      <w:r>
        <w:rPr>
          <w:szCs w:val="20"/>
          <w:lang w:eastAsia="lt-LT"/>
        </w:rPr>
        <w:t>Neigiamų pasekmių nenumatoma.</w:t>
      </w:r>
    </w:p>
    <w:p w14:paraId="17E9756C" w14:textId="77777777" w:rsidR="00475E5A" w:rsidRDefault="00A43B64">
      <w:pPr>
        <w:rPr>
          <w:b/>
          <w:szCs w:val="20"/>
          <w:lang w:eastAsia="lt-LT"/>
        </w:rPr>
      </w:pPr>
      <w:r>
        <w:rPr>
          <w:b/>
          <w:szCs w:val="20"/>
          <w:lang w:eastAsia="lt-LT"/>
        </w:rPr>
        <w:t>4. Suderinamumas su Lietuvos Respublikos galiojančiais teisės norminiais aktais</w:t>
      </w:r>
    </w:p>
    <w:p w14:paraId="724A65BB" w14:textId="77777777" w:rsidR="00475E5A" w:rsidRDefault="00A43B64" w:rsidP="00410D3B">
      <w:pPr>
        <w:rPr>
          <w:szCs w:val="20"/>
          <w:lang w:eastAsia="lt-LT"/>
        </w:rPr>
      </w:pPr>
      <w:r>
        <w:rPr>
          <w:szCs w:val="20"/>
          <w:lang w:eastAsia="lt-LT"/>
        </w:rPr>
        <w:t>Projektas neprieštarauja galiojantiems teisės aktams.</w:t>
      </w:r>
    </w:p>
    <w:p w14:paraId="2B2DAB4D" w14:textId="77777777" w:rsidR="00475E5A" w:rsidRDefault="00A43B64">
      <w:pPr>
        <w:rPr>
          <w:b/>
          <w:szCs w:val="20"/>
          <w:lang w:eastAsia="lt-LT"/>
        </w:rPr>
      </w:pPr>
      <w:r>
        <w:rPr>
          <w:b/>
          <w:szCs w:val="20"/>
          <w:lang w:eastAsia="lt-LT"/>
        </w:rPr>
        <w:t>5. Priimtam teisės aktui įgyvendinti reikalingi papildomi (priimti, pakeisti) teisės aktai</w:t>
      </w:r>
    </w:p>
    <w:p w14:paraId="12115FE6" w14:textId="77777777" w:rsidR="00475E5A" w:rsidRDefault="00A43B64" w:rsidP="00410D3B">
      <w:pPr>
        <w:rPr>
          <w:szCs w:val="20"/>
          <w:lang w:eastAsia="lt-LT"/>
        </w:rPr>
      </w:pPr>
      <w:r>
        <w:rPr>
          <w:szCs w:val="20"/>
          <w:lang w:eastAsia="lt-LT"/>
        </w:rPr>
        <w:t>Nereikalingi.</w:t>
      </w:r>
    </w:p>
    <w:p w14:paraId="3F98B380" w14:textId="77777777" w:rsidR="00475E5A" w:rsidRDefault="00A43B64">
      <w:pPr>
        <w:rPr>
          <w:b/>
          <w:szCs w:val="20"/>
          <w:lang w:eastAsia="lt-LT"/>
        </w:rPr>
      </w:pPr>
      <w:r>
        <w:rPr>
          <w:b/>
          <w:szCs w:val="20"/>
          <w:lang w:eastAsia="lt-LT"/>
        </w:rPr>
        <w:t>6. Biudžeto lėšų poreikis teisės aktui įgyvendinti</w:t>
      </w:r>
    </w:p>
    <w:p w14:paraId="602B1123" w14:textId="40E4D2F7" w:rsidR="00475E5A" w:rsidRDefault="005A6B4E" w:rsidP="00410D3B">
      <w:pPr>
        <w:rPr>
          <w:szCs w:val="20"/>
          <w:lang w:eastAsia="lt-LT"/>
        </w:rPr>
      </w:pPr>
      <w:r>
        <w:rPr>
          <w:szCs w:val="20"/>
          <w:lang w:eastAsia="lt-LT"/>
        </w:rPr>
        <w:t>Bus numatomos savivaldybės lėšos</w:t>
      </w:r>
      <w:r w:rsidR="00A43B64">
        <w:rPr>
          <w:szCs w:val="20"/>
          <w:lang w:eastAsia="lt-LT"/>
        </w:rPr>
        <w:t xml:space="preserve">. </w:t>
      </w:r>
    </w:p>
    <w:p w14:paraId="6F3D4B2C" w14:textId="77777777" w:rsidR="00475E5A" w:rsidRDefault="00A43B64">
      <w:pPr>
        <w:rPr>
          <w:b/>
          <w:szCs w:val="20"/>
          <w:lang w:eastAsia="lt-LT"/>
        </w:rPr>
      </w:pPr>
      <w:r>
        <w:rPr>
          <w:b/>
          <w:szCs w:val="20"/>
          <w:lang w:eastAsia="lt-LT"/>
        </w:rPr>
        <w:t>7. Teisės akto projekto rengimo metu gauti specialistų vertinimai ir išvados.</w:t>
      </w:r>
    </w:p>
    <w:p w14:paraId="1D79C090" w14:textId="0810E1A2" w:rsidR="00475E5A" w:rsidRDefault="00A43B64">
      <w:r>
        <w:rPr>
          <w:szCs w:val="20"/>
          <w:lang w:eastAsia="lt-LT"/>
        </w:rPr>
        <w:t xml:space="preserve">Negauta. </w:t>
      </w:r>
    </w:p>
    <w:p w14:paraId="62DD053D" w14:textId="77777777" w:rsidR="00475E5A" w:rsidRDefault="00A43B64">
      <w:pPr>
        <w:rPr>
          <w:b/>
          <w:szCs w:val="20"/>
          <w:lang w:eastAsia="lt-LT"/>
        </w:rPr>
      </w:pPr>
      <w:r>
        <w:rPr>
          <w:b/>
          <w:szCs w:val="20"/>
          <w:lang w:eastAsia="lt-LT"/>
        </w:rPr>
        <w:t>8. Teisės akto projekto iniciatoriai: institucija, asmenys ar piliečių įgalioti atstovai</w:t>
      </w:r>
    </w:p>
    <w:p w14:paraId="541EE673" w14:textId="6815A753" w:rsidR="00475E5A" w:rsidRDefault="005A6B4E" w:rsidP="00DA0CFA">
      <w:pPr>
        <w:rPr>
          <w:szCs w:val="20"/>
          <w:lang w:eastAsia="lt-LT"/>
        </w:rPr>
      </w:pPr>
      <w:r>
        <w:rPr>
          <w:szCs w:val="20"/>
          <w:lang w:eastAsia="lt-LT"/>
        </w:rPr>
        <w:t>Administracijos direktorius</w:t>
      </w:r>
    </w:p>
    <w:p w14:paraId="407BBC31" w14:textId="77777777" w:rsidR="00475E5A" w:rsidRDefault="00A43B64">
      <w:pPr>
        <w:rPr>
          <w:b/>
          <w:szCs w:val="20"/>
          <w:lang w:eastAsia="lt-LT"/>
        </w:rPr>
      </w:pPr>
      <w:r>
        <w:rPr>
          <w:b/>
          <w:szCs w:val="20"/>
          <w:lang w:eastAsia="lt-LT"/>
        </w:rPr>
        <w:t xml:space="preserve">9. Teisės akto projekto autoriai (rengėjai) </w:t>
      </w:r>
    </w:p>
    <w:p w14:paraId="65EF8BA6" w14:textId="672CA5CE" w:rsidR="00475E5A" w:rsidRDefault="00F3523B" w:rsidP="00410D3B">
      <w:pPr>
        <w:jc w:val="both"/>
      </w:pPr>
      <w:r w:rsidRPr="000E08F3">
        <w:rPr>
          <w:lang w:eastAsia="lt-LT"/>
        </w:rPr>
        <w:t>Teritorijų planavimo ir plėtros projektų skyriaus</w:t>
      </w:r>
      <w:r>
        <w:rPr>
          <w:lang w:val="en-US" w:eastAsia="lt-LT"/>
        </w:rPr>
        <w:t xml:space="preserve">  </w:t>
      </w:r>
      <w:r w:rsidR="00405871">
        <w:t>architektė</w:t>
      </w:r>
      <w:r w:rsidR="00603DA2">
        <w:t xml:space="preserve"> </w:t>
      </w:r>
      <w:r w:rsidR="00633DBC">
        <w:t xml:space="preserve">   </w:t>
      </w:r>
      <w:r w:rsidR="00405871">
        <w:t xml:space="preserve">Audronė </w:t>
      </w:r>
      <w:r w:rsidR="000E08F3">
        <w:t>N</w:t>
      </w:r>
      <w:r w:rsidR="00405871">
        <w:t>oskaitienė</w:t>
      </w:r>
      <w:r w:rsidR="00A43B64">
        <w:rPr>
          <w:szCs w:val="20"/>
          <w:lang w:eastAsia="lt-LT"/>
        </w:rPr>
        <w:t xml:space="preserve"> </w:t>
      </w:r>
    </w:p>
    <w:p w14:paraId="4064F724" w14:textId="77777777" w:rsidR="00410D3B" w:rsidRDefault="00A43B64">
      <w:r>
        <w:rPr>
          <w:b/>
          <w:szCs w:val="20"/>
          <w:lang w:eastAsia="lt-LT"/>
        </w:rPr>
        <w:t xml:space="preserve">10. </w:t>
      </w:r>
      <w:r>
        <w:rPr>
          <w:b/>
          <w:lang w:eastAsia="lt-LT"/>
        </w:rPr>
        <w:t>Priimto teisės akto nauda Vilniui ir vilniečiams.</w:t>
      </w:r>
      <w:r>
        <w:rPr>
          <w:b/>
          <w:szCs w:val="20"/>
          <w:lang w:eastAsia="lt-LT"/>
        </w:rPr>
        <w:t xml:space="preserve"> </w:t>
      </w:r>
    </w:p>
    <w:p w14:paraId="11A39180" w14:textId="4B1192A6" w:rsidR="000E08F3" w:rsidRPr="000E08F3" w:rsidRDefault="00206AF7" w:rsidP="000E08F3">
      <w:pPr>
        <w:rPr>
          <w:szCs w:val="20"/>
          <w:lang w:eastAsia="lt-LT"/>
        </w:rPr>
      </w:pPr>
      <w:r>
        <w:rPr>
          <w:szCs w:val="20"/>
          <w:lang w:eastAsia="lt-LT"/>
        </w:rPr>
        <w:t>B</w:t>
      </w:r>
      <w:r w:rsidR="004D0602">
        <w:rPr>
          <w:szCs w:val="20"/>
          <w:lang w:eastAsia="lt-LT"/>
        </w:rPr>
        <w:t xml:space="preserve">us </w:t>
      </w:r>
      <w:r w:rsidR="00405871">
        <w:rPr>
          <w:szCs w:val="20"/>
          <w:lang w:eastAsia="lt-LT"/>
        </w:rPr>
        <w:t xml:space="preserve">ištaisytos </w:t>
      </w:r>
      <w:r w:rsidR="00405871">
        <w:rPr>
          <w:color w:val="000000"/>
          <w:lang w:eastAsia="lt-LT"/>
        </w:rPr>
        <w:t>spausdinimo, skaičiavimo, faktinių duomenų neatitikimo ar kita klaid</w:t>
      </w:r>
      <w:r>
        <w:rPr>
          <w:color w:val="000000"/>
          <w:lang w:eastAsia="lt-LT"/>
        </w:rPr>
        <w:t>os</w:t>
      </w:r>
      <w:r w:rsidR="00405871">
        <w:rPr>
          <w:color w:val="000000"/>
          <w:lang w:eastAsia="lt-LT"/>
        </w:rPr>
        <w:t>, kuri</w:t>
      </w:r>
      <w:r>
        <w:rPr>
          <w:color w:val="000000"/>
          <w:lang w:eastAsia="lt-LT"/>
        </w:rPr>
        <w:t xml:space="preserve">os panaikins kolizijas tarp </w:t>
      </w:r>
      <w:r>
        <w:rPr>
          <w:szCs w:val="20"/>
          <w:lang w:eastAsia="lt-LT"/>
        </w:rPr>
        <w:t>BP</w:t>
      </w:r>
      <w:r>
        <w:rPr>
          <w:color w:val="000000"/>
          <w:lang w:eastAsia="lt-LT"/>
        </w:rPr>
        <w:t xml:space="preserve"> tekstinių ir grafinių sprendinių, padės sėkmingai</w:t>
      </w:r>
      <w:r w:rsidR="00405871">
        <w:rPr>
          <w:szCs w:val="20"/>
          <w:lang w:eastAsia="lt-LT"/>
        </w:rPr>
        <w:t xml:space="preserve"> </w:t>
      </w:r>
      <w:r w:rsidR="005A6B4E">
        <w:rPr>
          <w:szCs w:val="20"/>
          <w:lang w:eastAsia="lt-LT"/>
        </w:rPr>
        <w:t>įgyvendinti bendrojo plano sprendini</w:t>
      </w:r>
      <w:r>
        <w:rPr>
          <w:szCs w:val="20"/>
          <w:lang w:eastAsia="lt-LT"/>
        </w:rPr>
        <w:t>us.</w:t>
      </w:r>
    </w:p>
    <w:p w14:paraId="5B5891DA" w14:textId="1A8934CC" w:rsidR="00BA176C" w:rsidRDefault="00BA176C"/>
    <w:p w14:paraId="1CBB4922" w14:textId="77777777" w:rsidR="0016406C" w:rsidRPr="00410D3B" w:rsidRDefault="0016406C"/>
    <w:p w14:paraId="1E72739A" w14:textId="3744F0EF" w:rsidR="004D16D9" w:rsidRDefault="00F3523B">
      <w:pPr>
        <w:jc w:val="both"/>
        <w:rPr>
          <w:lang w:val="en-US" w:eastAsia="lt-LT"/>
        </w:rPr>
      </w:pPr>
      <w:r w:rsidRPr="000E08F3">
        <w:rPr>
          <w:lang w:eastAsia="lt-LT"/>
        </w:rPr>
        <w:t>Teritorijų planavimo ir plėtros projektų skyriaus</w:t>
      </w:r>
      <w:r w:rsidR="00A43B64" w:rsidRPr="000E08F3">
        <w:rPr>
          <w:b/>
          <w:lang w:eastAsia="lt-LT"/>
        </w:rPr>
        <w:t xml:space="preserve"> </w:t>
      </w:r>
      <w:r w:rsidR="00A43B64" w:rsidRPr="000E08F3">
        <w:rPr>
          <w:lang w:eastAsia="lt-LT"/>
        </w:rPr>
        <w:t>vedėjas</w:t>
      </w:r>
      <w:r w:rsidR="00A43B64">
        <w:rPr>
          <w:lang w:val="en-US" w:eastAsia="lt-LT"/>
        </w:rPr>
        <w:t xml:space="preserve">                                      </w:t>
      </w:r>
      <w:r w:rsidR="008D7C6D">
        <w:rPr>
          <w:lang w:val="en-US" w:eastAsia="lt-LT"/>
        </w:rPr>
        <w:t>Benius Bučelis</w:t>
      </w:r>
    </w:p>
    <w:p w14:paraId="7C60B746" w14:textId="216F28E5" w:rsidR="004D16D9" w:rsidRDefault="004D16D9">
      <w:pPr>
        <w:jc w:val="both"/>
      </w:pPr>
    </w:p>
    <w:sectPr w:rsidR="004D16D9">
      <w:pgSz w:w="11907" w:h="16840"/>
      <w:pgMar w:top="899" w:right="747" w:bottom="89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51BC" w14:textId="77777777" w:rsidR="00DF56DF" w:rsidRDefault="00DF56DF">
      <w:r>
        <w:separator/>
      </w:r>
    </w:p>
  </w:endnote>
  <w:endnote w:type="continuationSeparator" w:id="0">
    <w:p w14:paraId="737EE4C7" w14:textId="77777777" w:rsidR="00DF56DF" w:rsidRDefault="00DF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5A65" w14:textId="77777777" w:rsidR="00DF56DF" w:rsidRDefault="00DF56DF">
      <w:r>
        <w:rPr>
          <w:color w:val="000000"/>
        </w:rPr>
        <w:separator/>
      </w:r>
    </w:p>
  </w:footnote>
  <w:footnote w:type="continuationSeparator" w:id="0">
    <w:p w14:paraId="19F08D76" w14:textId="77777777" w:rsidR="00DF56DF" w:rsidRDefault="00DF5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71EE3"/>
    <w:multiLevelType w:val="hybridMultilevel"/>
    <w:tmpl w:val="FB1298E4"/>
    <w:lvl w:ilvl="0" w:tplc="5D18F24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4221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E5A"/>
    <w:rsid w:val="000913A6"/>
    <w:rsid w:val="0009200C"/>
    <w:rsid w:val="000B611B"/>
    <w:rsid w:val="000C2D2B"/>
    <w:rsid w:val="000E08F3"/>
    <w:rsid w:val="001340EF"/>
    <w:rsid w:val="00151EEA"/>
    <w:rsid w:val="00152C84"/>
    <w:rsid w:val="00163721"/>
    <w:rsid w:val="0016406C"/>
    <w:rsid w:val="00184729"/>
    <w:rsid w:val="00192A52"/>
    <w:rsid w:val="001C27D8"/>
    <w:rsid w:val="001C2E60"/>
    <w:rsid w:val="001E540C"/>
    <w:rsid w:val="00206AF7"/>
    <w:rsid w:val="00224100"/>
    <w:rsid w:val="00267C7E"/>
    <w:rsid w:val="002A5601"/>
    <w:rsid w:val="002B075C"/>
    <w:rsid w:val="002B2216"/>
    <w:rsid w:val="002C739E"/>
    <w:rsid w:val="00332D65"/>
    <w:rsid w:val="003416FF"/>
    <w:rsid w:val="0034745E"/>
    <w:rsid w:val="00352A61"/>
    <w:rsid w:val="003F6A62"/>
    <w:rsid w:val="00405871"/>
    <w:rsid w:val="00410D3B"/>
    <w:rsid w:val="004527F3"/>
    <w:rsid w:val="00461CF7"/>
    <w:rsid w:val="00475E55"/>
    <w:rsid w:val="00475E5A"/>
    <w:rsid w:val="00480F2D"/>
    <w:rsid w:val="004B0446"/>
    <w:rsid w:val="004B3732"/>
    <w:rsid w:val="004D0602"/>
    <w:rsid w:val="004D16D9"/>
    <w:rsid w:val="004F0C53"/>
    <w:rsid w:val="004F433F"/>
    <w:rsid w:val="00523A03"/>
    <w:rsid w:val="00536B30"/>
    <w:rsid w:val="00540ED3"/>
    <w:rsid w:val="005544CF"/>
    <w:rsid w:val="005A6B4E"/>
    <w:rsid w:val="005E0CC5"/>
    <w:rsid w:val="005E36ED"/>
    <w:rsid w:val="00603DA2"/>
    <w:rsid w:val="0060584E"/>
    <w:rsid w:val="00614565"/>
    <w:rsid w:val="006154D7"/>
    <w:rsid w:val="00633DBC"/>
    <w:rsid w:val="00653CAE"/>
    <w:rsid w:val="006869AA"/>
    <w:rsid w:val="00693D7E"/>
    <w:rsid w:val="006A0EE5"/>
    <w:rsid w:val="006A4A5F"/>
    <w:rsid w:val="006E4E0C"/>
    <w:rsid w:val="0071771B"/>
    <w:rsid w:val="00731712"/>
    <w:rsid w:val="0077690D"/>
    <w:rsid w:val="007C61A7"/>
    <w:rsid w:val="007D7758"/>
    <w:rsid w:val="007E0027"/>
    <w:rsid w:val="008022A6"/>
    <w:rsid w:val="00816FF2"/>
    <w:rsid w:val="00880A61"/>
    <w:rsid w:val="008D53CA"/>
    <w:rsid w:val="008D7C6D"/>
    <w:rsid w:val="00925E7E"/>
    <w:rsid w:val="0097459D"/>
    <w:rsid w:val="009B0F0E"/>
    <w:rsid w:val="009F542F"/>
    <w:rsid w:val="00A313A0"/>
    <w:rsid w:val="00A43B64"/>
    <w:rsid w:val="00A632E5"/>
    <w:rsid w:val="00A76C10"/>
    <w:rsid w:val="00A86D46"/>
    <w:rsid w:val="00AF0699"/>
    <w:rsid w:val="00B3511F"/>
    <w:rsid w:val="00B66D54"/>
    <w:rsid w:val="00B70807"/>
    <w:rsid w:val="00B94C47"/>
    <w:rsid w:val="00BA176C"/>
    <w:rsid w:val="00BA4921"/>
    <w:rsid w:val="00BD5AA9"/>
    <w:rsid w:val="00C061C7"/>
    <w:rsid w:val="00C75456"/>
    <w:rsid w:val="00CB6173"/>
    <w:rsid w:val="00CE7EB3"/>
    <w:rsid w:val="00D52593"/>
    <w:rsid w:val="00D82813"/>
    <w:rsid w:val="00DA0CFA"/>
    <w:rsid w:val="00DA2A68"/>
    <w:rsid w:val="00DC0A1C"/>
    <w:rsid w:val="00DE23ED"/>
    <w:rsid w:val="00DF01A4"/>
    <w:rsid w:val="00DF1407"/>
    <w:rsid w:val="00DF14F6"/>
    <w:rsid w:val="00DF56DF"/>
    <w:rsid w:val="00E276AE"/>
    <w:rsid w:val="00E27B31"/>
    <w:rsid w:val="00E44BC9"/>
    <w:rsid w:val="00E61B56"/>
    <w:rsid w:val="00E8596F"/>
    <w:rsid w:val="00EA5C2E"/>
    <w:rsid w:val="00EE11AC"/>
    <w:rsid w:val="00F158D1"/>
    <w:rsid w:val="00F2360E"/>
    <w:rsid w:val="00F30A54"/>
    <w:rsid w:val="00F3523B"/>
    <w:rsid w:val="00F9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3245"/>
  <w15:docId w15:val="{12DA1B34-E4EF-46D9-AB1E-8E742DC1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pPr>
      <w:jc w:val="center"/>
    </w:pPr>
    <w:rPr>
      <w:szCs w:val="20"/>
      <w:lang w:eastAsia="lt-LT"/>
    </w:rPr>
  </w:style>
  <w:style w:type="paragraph" w:customStyle="1" w:styleId="Default">
    <w:name w:val="Default"/>
    <w:rsid w:val="00B3511F"/>
    <w:pPr>
      <w:autoSpaceDE w:val="0"/>
      <w:adjustRightInd w:val="0"/>
      <w:textAlignment w:val="auto"/>
    </w:pPr>
    <w:rPr>
      <w:rFonts w:eastAsiaTheme="minorHAnsi"/>
      <w:color w:val="000000"/>
      <w:sz w:val="24"/>
      <w:szCs w:val="24"/>
    </w:rPr>
  </w:style>
  <w:style w:type="character" w:styleId="Hipersaitas">
    <w:name w:val="Hyperlink"/>
    <w:basedOn w:val="Numatytasispastraiposriftas"/>
    <w:rsid w:val="00540ED3"/>
    <w:rPr>
      <w:color w:val="0000FF"/>
      <w:u w:val="single"/>
    </w:rPr>
  </w:style>
  <w:style w:type="paragraph" w:styleId="Betarp">
    <w:name w:val="No Spacing"/>
    <w:qFormat/>
    <w:rsid w:val="004D16D9"/>
    <w:pPr>
      <w:suppressAutoHyphens/>
      <w:textAlignment w:val="auto"/>
    </w:pPr>
    <w:rPr>
      <w:rFonts w:ascii="Calibri" w:eastAsia="Calibri" w:hAnsi="Calibri"/>
      <w:sz w:val="22"/>
      <w:szCs w:val="22"/>
    </w:rPr>
  </w:style>
  <w:style w:type="paragraph" w:styleId="Sraopastraipa">
    <w:name w:val="List Paragraph"/>
    <w:basedOn w:val="prastasis"/>
    <w:uiPriority w:val="34"/>
    <w:qFormat/>
    <w:rsid w:val="004F433F"/>
    <w:pPr>
      <w:suppressAutoHyphens w:val="0"/>
      <w:autoSpaceDN/>
      <w:spacing w:after="160" w:line="252" w:lineRule="auto"/>
      <w:ind w:left="720"/>
      <w:contextualSpacing/>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968792">
      <w:bodyDiv w:val="1"/>
      <w:marLeft w:val="0"/>
      <w:marRight w:val="0"/>
      <w:marTop w:val="0"/>
      <w:marBottom w:val="0"/>
      <w:divBdr>
        <w:top w:val="none" w:sz="0" w:space="0" w:color="auto"/>
        <w:left w:val="none" w:sz="0" w:space="0" w:color="auto"/>
        <w:bottom w:val="none" w:sz="0" w:space="0" w:color="auto"/>
        <w:right w:val="none" w:sz="0" w:space="0" w:color="auto"/>
      </w:divBdr>
    </w:div>
    <w:div w:id="141192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lnius.lt/wp-content/uploads/2021/04/06.-Zeldynu-pasiekiamumas-2021-03-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4633</Words>
  <Characters>2642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Valdonė Gavorskienė</dc:creator>
  <cp:lastModifiedBy>Audronė Noskaitienė</cp:lastModifiedBy>
  <cp:revision>8</cp:revision>
  <dcterms:created xsi:type="dcterms:W3CDTF">2022-07-13T14:39:00Z</dcterms:created>
  <dcterms:modified xsi:type="dcterms:W3CDTF">2022-07-14T10:47:00Z</dcterms:modified>
</cp:coreProperties>
</file>