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BE038" w14:textId="77777777" w:rsidR="00FF029A" w:rsidRPr="00FF029A" w:rsidRDefault="00FF029A" w:rsidP="00FF029A">
      <w:pPr>
        <w:pStyle w:val="subtitle"/>
        <w:spacing w:before="0" w:beforeAutospacing="0" w:after="0" w:afterAutospacing="0" w:line="240" w:lineRule="atLeast"/>
        <w:jc w:val="right"/>
        <w:rPr>
          <w:color w:val="000000"/>
          <w:sz w:val="27"/>
          <w:szCs w:val="27"/>
        </w:rPr>
      </w:pPr>
      <w:r w:rsidRPr="00FF029A">
        <w:rPr>
          <w:color w:val="000000"/>
        </w:rPr>
        <w:t>Administracinė byla Nr. eA-721-525/2019</w:t>
      </w:r>
    </w:p>
    <w:p w14:paraId="75258A66" w14:textId="77777777" w:rsidR="00FF029A" w:rsidRPr="00FF029A" w:rsidRDefault="00FF029A" w:rsidP="00FF029A">
      <w:pPr>
        <w:pStyle w:val="subtitle"/>
        <w:spacing w:before="0" w:beforeAutospacing="0" w:after="0" w:afterAutospacing="0" w:line="240" w:lineRule="atLeast"/>
        <w:jc w:val="right"/>
        <w:rPr>
          <w:color w:val="000000"/>
          <w:sz w:val="27"/>
          <w:szCs w:val="27"/>
        </w:rPr>
      </w:pPr>
      <w:r w:rsidRPr="00FF029A">
        <w:rPr>
          <w:color w:val="000000"/>
        </w:rPr>
        <w:t>Teisminio proceso Nr. 3-61-3-00650-2017-4</w:t>
      </w:r>
    </w:p>
    <w:p w14:paraId="3C3B64E3" w14:textId="77777777" w:rsidR="00FF029A" w:rsidRPr="00FF029A" w:rsidRDefault="00FF029A" w:rsidP="00FF029A">
      <w:pPr>
        <w:pStyle w:val="subtitle"/>
        <w:spacing w:before="0" w:beforeAutospacing="0" w:after="0" w:afterAutospacing="0" w:line="240" w:lineRule="atLeast"/>
        <w:jc w:val="right"/>
        <w:rPr>
          <w:color w:val="000000"/>
          <w:sz w:val="27"/>
          <w:szCs w:val="27"/>
        </w:rPr>
      </w:pPr>
      <w:r w:rsidRPr="00FF029A">
        <w:rPr>
          <w:color w:val="000000"/>
        </w:rPr>
        <w:t>Procesinio sprendimo kategorija 55.1.5</w:t>
      </w:r>
    </w:p>
    <w:p w14:paraId="4D9A3FCA" w14:textId="77777777" w:rsidR="00FF029A" w:rsidRPr="00FF029A" w:rsidRDefault="00FF029A" w:rsidP="00FF029A">
      <w:pPr>
        <w:pStyle w:val="subtitle"/>
        <w:spacing w:before="0" w:beforeAutospacing="0" w:after="0" w:afterAutospacing="0" w:line="240" w:lineRule="atLeast"/>
        <w:jc w:val="right"/>
        <w:rPr>
          <w:color w:val="000000"/>
          <w:sz w:val="27"/>
          <w:szCs w:val="27"/>
        </w:rPr>
      </w:pPr>
      <w:r w:rsidRPr="00FF029A">
        <w:rPr>
          <w:color w:val="000000"/>
        </w:rPr>
        <w:t>(S)</w:t>
      </w:r>
    </w:p>
    <w:p w14:paraId="318E14BB" w14:textId="77777777" w:rsidR="00FF029A" w:rsidRPr="00FF029A" w:rsidRDefault="00FF029A" w:rsidP="00FF029A">
      <w:pPr>
        <w:pStyle w:val="subtitle"/>
        <w:spacing w:before="0" w:beforeAutospacing="0" w:after="0" w:afterAutospacing="0" w:line="240" w:lineRule="atLeast"/>
        <w:jc w:val="right"/>
        <w:rPr>
          <w:color w:val="000000"/>
        </w:rPr>
      </w:pPr>
      <w:r w:rsidRPr="00FF029A">
        <w:rPr>
          <w:color w:val="000000"/>
        </w:rPr>
        <w:t> </w:t>
      </w:r>
    </w:p>
    <w:p w14:paraId="32BE1670" w14:textId="77777777" w:rsidR="00FF029A" w:rsidRPr="00FF029A" w:rsidRDefault="00FF029A" w:rsidP="00FF029A">
      <w:pPr>
        <w:pStyle w:val="subtitle"/>
        <w:spacing w:before="0" w:beforeAutospacing="0" w:after="0" w:afterAutospacing="0" w:line="240" w:lineRule="atLeast"/>
        <w:jc w:val="right"/>
        <w:rPr>
          <w:color w:val="000000"/>
        </w:rPr>
      </w:pPr>
      <w:r w:rsidRPr="00FF029A">
        <w:rPr>
          <w:color w:val="000000"/>
        </w:rPr>
        <w:t> </w:t>
      </w:r>
    </w:p>
    <w:p w14:paraId="416F8B9F" w14:textId="763BE036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 w:rsidRPr="00FF029A">
        <w:rPr>
          <w:noProof/>
          <w:color w:val="000000"/>
          <w:sz w:val="27"/>
          <w:szCs w:val="27"/>
        </w:rPr>
        <w:drawing>
          <wp:inline distT="0" distB="0" distL="0" distR="0" wp14:anchorId="52EEF723" wp14:editId="31A3DC01">
            <wp:extent cx="679450" cy="692150"/>
            <wp:effectExtent l="0" t="0" r="6350" b="0"/>
            <wp:docPr id="1" name="Paveikslėlis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29A">
        <w:rPr>
          <w:b/>
          <w:bCs/>
          <w:color w:val="000000"/>
        </w:rPr>
        <w:t> </w:t>
      </w:r>
    </w:p>
    <w:p w14:paraId="6F4C30CB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center"/>
        <w:rPr>
          <w:color w:val="000000"/>
        </w:rPr>
      </w:pPr>
      <w:r w:rsidRPr="00FF029A">
        <w:rPr>
          <w:b/>
          <w:bCs/>
          <w:color w:val="000000"/>
        </w:rPr>
        <w:t> </w:t>
      </w:r>
    </w:p>
    <w:p w14:paraId="58F8DA60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 w:rsidRPr="00FF029A">
        <w:rPr>
          <w:b/>
          <w:bCs/>
          <w:color w:val="000000"/>
        </w:rPr>
        <w:t>LIETUVOS VYRIAUSIASIS ADMINISTRACINIS TEISMAS</w:t>
      </w:r>
    </w:p>
    <w:p w14:paraId="5DDE6DD0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 w:rsidRPr="00FF029A">
        <w:rPr>
          <w:b/>
          <w:bCs/>
          <w:color w:val="000000"/>
        </w:rPr>
        <w:t> </w:t>
      </w:r>
    </w:p>
    <w:p w14:paraId="3927B5B4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 w:rsidRPr="00FF029A">
        <w:rPr>
          <w:b/>
          <w:bCs/>
          <w:color w:val="000000"/>
        </w:rPr>
        <w:t>N U T A R T I S</w:t>
      </w:r>
      <w:r w:rsidRPr="00FF029A">
        <w:rPr>
          <w:color w:val="000000"/>
        </w:rPr>
        <w:t> </w:t>
      </w:r>
    </w:p>
    <w:p w14:paraId="43729EDF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center"/>
        <w:rPr>
          <w:color w:val="000000"/>
        </w:rPr>
      </w:pPr>
      <w:r w:rsidRPr="00FF029A">
        <w:rPr>
          <w:color w:val="000000"/>
        </w:rPr>
        <w:t> </w:t>
      </w:r>
    </w:p>
    <w:p w14:paraId="1F459ABE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 w:rsidRPr="00FF029A">
        <w:rPr>
          <w:color w:val="000000"/>
        </w:rPr>
        <w:t>2019 m. liepos 25 d.</w:t>
      </w:r>
    </w:p>
    <w:p w14:paraId="4C4E3AAC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 w:rsidRPr="00FF029A">
        <w:rPr>
          <w:color w:val="000000"/>
        </w:rPr>
        <w:t>Vilnius</w:t>
      </w:r>
    </w:p>
    <w:p w14:paraId="702DB58B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center"/>
        <w:rPr>
          <w:color w:val="000000"/>
        </w:rPr>
      </w:pPr>
      <w:r w:rsidRPr="00FF029A">
        <w:rPr>
          <w:color w:val="000000"/>
        </w:rPr>
        <w:t> </w:t>
      </w:r>
    </w:p>
    <w:p w14:paraId="249A8644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firstLine="720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t>Lietuvos vyriausiojo administracinio teismo teisėjų kolegija, susidedanti iš teisėjų Laimučio </w:t>
      </w:r>
      <w:proofErr w:type="spellStart"/>
      <w:r w:rsidRPr="00FF029A">
        <w:rPr>
          <w:color w:val="000000"/>
        </w:rPr>
        <w:t>Alechnavičiaus</w:t>
      </w:r>
      <w:proofErr w:type="spellEnd"/>
      <w:r w:rsidRPr="00FF029A">
        <w:rPr>
          <w:color w:val="000000"/>
        </w:rPr>
        <w:t> (kolegijos pirmininkas ir pranešėjas), Audriaus </w:t>
      </w:r>
      <w:proofErr w:type="spellStart"/>
      <w:r w:rsidRPr="00FF029A">
        <w:rPr>
          <w:color w:val="000000"/>
        </w:rPr>
        <w:t>Bakavecko</w:t>
      </w:r>
      <w:proofErr w:type="spellEnd"/>
      <w:r w:rsidRPr="00FF029A">
        <w:rPr>
          <w:color w:val="000000"/>
        </w:rPr>
        <w:t> ir Ryčio Krasausko,</w:t>
      </w:r>
    </w:p>
    <w:p w14:paraId="571DA06A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firstLine="720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t>rašytinio proceso tvarka išnagrinėjo rašymo apsirikimo Lietuvos vyriausiojo administracinio teismo 2019 m. liepos 24 d. nutartyje, priimtoje administracinėje byloje pagal pareiškėjo bankrutuojančios uždarosios akcinės bendrovės „VIPC Vilnius“, atstovaujamos bankroto administratoriaus „</w:t>
      </w:r>
      <w:proofErr w:type="spellStart"/>
      <w:r w:rsidRPr="00FF029A">
        <w:rPr>
          <w:color w:val="000000"/>
        </w:rPr>
        <w:t>Valeksa</w:t>
      </w:r>
      <w:proofErr w:type="spellEnd"/>
      <w:r w:rsidRPr="00FF029A">
        <w:rPr>
          <w:color w:val="000000"/>
        </w:rPr>
        <w:t>“, apeliacinį skundą dėl Vilniaus apygardos administracinio teismo 2017 m. spalio 11 d. sprendimo administracinėje byloje pagal pareiškėjo bankrutuojančios uždarosios akcinės bendrovės „VIPC Vilnius“, atstovaujamos bankroto administratoriaus „</w:t>
      </w:r>
      <w:proofErr w:type="spellStart"/>
      <w:r w:rsidRPr="00FF029A">
        <w:rPr>
          <w:color w:val="000000"/>
        </w:rPr>
        <w:t>Valeksa</w:t>
      </w:r>
      <w:proofErr w:type="spellEnd"/>
      <w:r w:rsidRPr="00FF029A">
        <w:rPr>
          <w:color w:val="000000"/>
        </w:rPr>
        <w:t>“, skundą atsakovui Vilniaus miesto savivaldybės administracijai dėl sprendimų panaikinimo.</w:t>
      </w:r>
    </w:p>
    <w:p w14:paraId="269FE7D0" w14:textId="77777777" w:rsidR="00FF029A" w:rsidRPr="00FF029A" w:rsidRDefault="00FF029A" w:rsidP="00FF029A">
      <w:pPr>
        <w:pStyle w:val="body-text"/>
        <w:spacing w:before="0" w:beforeAutospacing="0" w:after="0" w:afterAutospacing="0" w:line="240" w:lineRule="atLeast"/>
        <w:rPr>
          <w:color w:val="000000"/>
          <w:sz w:val="18"/>
          <w:szCs w:val="18"/>
        </w:rPr>
      </w:pPr>
      <w:r w:rsidRPr="00FF029A">
        <w:rPr>
          <w:color w:val="000000"/>
          <w:sz w:val="18"/>
          <w:szCs w:val="18"/>
        </w:rPr>
        <w:t> </w:t>
      </w:r>
    </w:p>
    <w:p w14:paraId="5F8CE037" w14:textId="77777777" w:rsidR="00FF029A" w:rsidRPr="00FF029A" w:rsidRDefault="00FF029A" w:rsidP="00FF029A">
      <w:pPr>
        <w:pStyle w:val="body-text"/>
        <w:spacing w:before="0" w:beforeAutospacing="0" w:after="0" w:afterAutospacing="0" w:line="240" w:lineRule="atLeast"/>
        <w:ind w:firstLine="720"/>
        <w:rPr>
          <w:color w:val="000000"/>
          <w:sz w:val="27"/>
          <w:szCs w:val="27"/>
        </w:rPr>
      </w:pPr>
      <w:r w:rsidRPr="00FF029A">
        <w:rPr>
          <w:color w:val="000000"/>
        </w:rPr>
        <w:t>Teisėjų kolegija</w:t>
      </w:r>
    </w:p>
    <w:p w14:paraId="3A828D06" w14:textId="77777777" w:rsidR="00FF029A" w:rsidRPr="00FF029A" w:rsidRDefault="00FF029A" w:rsidP="00FF029A">
      <w:pPr>
        <w:pStyle w:val="body-text"/>
        <w:spacing w:before="0" w:beforeAutospacing="0" w:after="0" w:afterAutospacing="0" w:line="240" w:lineRule="atLeast"/>
        <w:ind w:firstLine="720"/>
        <w:rPr>
          <w:color w:val="000000"/>
        </w:rPr>
      </w:pPr>
      <w:r w:rsidRPr="00FF029A">
        <w:rPr>
          <w:color w:val="000000"/>
        </w:rPr>
        <w:t> </w:t>
      </w:r>
    </w:p>
    <w:p w14:paraId="3D69005D" w14:textId="77777777" w:rsidR="00FF029A" w:rsidRPr="00FF029A" w:rsidRDefault="00FF029A" w:rsidP="00FF029A">
      <w:pPr>
        <w:pStyle w:val="body-text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 w:rsidRPr="00FF029A">
        <w:rPr>
          <w:color w:val="000000"/>
        </w:rPr>
        <w:t>n u s t a t ė :</w:t>
      </w:r>
    </w:p>
    <w:p w14:paraId="003FB9D2" w14:textId="77777777" w:rsidR="00FF029A" w:rsidRPr="00FF029A" w:rsidRDefault="00FF029A" w:rsidP="00FF029A">
      <w:pPr>
        <w:pStyle w:val="body-text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 w:rsidRPr="00FF029A">
        <w:rPr>
          <w:color w:val="000000"/>
          <w:sz w:val="20"/>
          <w:szCs w:val="20"/>
        </w:rPr>
        <w:t> </w:t>
      </w:r>
    </w:p>
    <w:p w14:paraId="27C84C16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firstLine="720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t>Lietuvos vyriausiojo administracinio teismo 2019 m. liepos 24 d. nutarties, priimtos išnagrinėjus pareiškėjo bankrutuojančios uždarosios akcinės bendrovės „VIPC Vilnius“, atstovaujamos bankroto administratoriaus „</w:t>
      </w:r>
      <w:proofErr w:type="spellStart"/>
      <w:r w:rsidRPr="00FF029A">
        <w:rPr>
          <w:color w:val="000000"/>
        </w:rPr>
        <w:t>Valeksa</w:t>
      </w:r>
      <w:proofErr w:type="spellEnd"/>
      <w:r w:rsidRPr="00FF029A">
        <w:rPr>
          <w:color w:val="000000"/>
        </w:rPr>
        <w:t>“, apeliacinį skundą dėl Vilniaus apygardos administracinio teismo 2017 m. spalio 11 d. sprendimo, titulinėje dalyje yra nurodyti neteisingi bylos ir teisminio proceso numeriai (t.  y. administracinės bylos Nr. eA-656-625/2019, teisminio proceso Nr. 3-61-3-02141-2017-1), nors turi būti – administracinės bylos Nr. eA-721-525/2019, teisminio proceso – Nr. 3-61-3-00650-2017-4.</w:t>
      </w:r>
    </w:p>
    <w:p w14:paraId="4A1BB492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t>Lietuvos Respublikos administracinių bylų teisenos įstatymo 96 straipsnio 2 dalyje nustatyta, jog kol sprendimas neįvykdytas, teismas gali savo iniciatyva ar proceso šalių prašymu ištaisyti sprendime aptiktus rašymo apsirikimus ar aiškias aritmetines klaidas.</w:t>
      </w:r>
    </w:p>
    <w:p w14:paraId="23EB1F54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firstLine="709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t>Lietuvos vyriausiojo administracinio teismo 2019 m. liepos 24 d. nutartyje yra padarytas akivaizdus rašymo apsirikimas nutartyje neteisingai nurodžius bylos ir teisminio proceso numerius, todėl šis rašymo apsirikimas ištaisytinas.</w:t>
      </w:r>
    </w:p>
    <w:p w14:paraId="0E1DAEA3" w14:textId="77777777" w:rsidR="00FF029A" w:rsidRPr="00FF029A" w:rsidRDefault="00FF029A" w:rsidP="00FF029A">
      <w:pPr>
        <w:pStyle w:val="body-text"/>
        <w:spacing w:before="0" w:beforeAutospacing="0" w:after="0" w:afterAutospacing="0" w:line="240" w:lineRule="atLeast"/>
        <w:rPr>
          <w:color w:val="000000"/>
        </w:rPr>
      </w:pPr>
      <w:r w:rsidRPr="00FF029A">
        <w:rPr>
          <w:color w:val="000000"/>
        </w:rPr>
        <w:t> </w:t>
      </w:r>
    </w:p>
    <w:p w14:paraId="23C163E1" w14:textId="77777777" w:rsidR="00FF029A" w:rsidRPr="00FF029A" w:rsidRDefault="00FF029A" w:rsidP="00FF029A">
      <w:pPr>
        <w:pStyle w:val="body-text"/>
        <w:spacing w:before="0" w:beforeAutospacing="0" w:after="0" w:afterAutospacing="0" w:line="240" w:lineRule="atLeast"/>
        <w:ind w:firstLine="720"/>
        <w:rPr>
          <w:color w:val="000000"/>
          <w:sz w:val="27"/>
          <w:szCs w:val="27"/>
        </w:rPr>
      </w:pPr>
      <w:r w:rsidRPr="00FF029A">
        <w:rPr>
          <w:color w:val="000000"/>
        </w:rPr>
        <w:t>Vadovaudamasi Lietuvos Respublikos administracinių bylų teisenos įstatymo 96 straipsnio 2 dalimi, 137 straipsniu, teisėjų kolegija</w:t>
      </w:r>
    </w:p>
    <w:p w14:paraId="4D217F36" w14:textId="77777777" w:rsidR="00FF029A" w:rsidRPr="00FF029A" w:rsidRDefault="00FF029A" w:rsidP="00FF029A">
      <w:pPr>
        <w:pStyle w:val="normal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</w:rPr>
      </w:pPr>
      <w:r w:rsidRPr="00FF029A">
        <w:rPr>
          <w:color w:val="000000"/>
        </w:rPr>
        <w:t> </w:t>
      </w:r>
    </w:p>
    <w:p w14:paraId="191A179B" w14:textId="77777777" w:rsidR="00FF029A" w:rsidRPr="00FF029A" w:rsidRDefault="00FF029A" w:rsidP="00FF029A">
      <w:pPr>
        <w:pStyle w:val="normal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lastRenderedPageBreak/>
        <w:t>        </w:t>
      </w:r>
    </w:p>
    <w:p w14:paraId="190858BF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t>n u t a r i a</w:t>
      </w:r>
      <w:r w:rsidRPr="00FF029A">
        <w:rPr>
          <w:b/>
          <w:bCs/>
          <w:color w:val="000000"/>
        </w:rPr>
        <w:t> </w:t>
      </w:r>
      <w:r w:rsidRPr="00FF029A">
        <w:rPr>
          <w:color w:val="000000"/>
        </w:rPr>
        <w:t>:</w:t>
      </w:r>
    </w:p>
    <w:p w14:paraId="70415D24" w14:textId="77777777" w:rsidR="00FF029A" w:rsidRPr="00FF029A" w:rsidRDefault="00FF029A" w:rsidP="00FF029A">
      <w:pPr>
        <w:pStyle w:val="normal"/>
        <w:shd w:val="clear" w:color="auto" w:fill="FFFFFF"/>
        <w:spacing w:before="0" w:beforeAutospacing="0" w:after="0" w:afterAutospacing="0" w:line="266" w:lineRule="atLeast"/>
        <w:ind w:firstLine="709"/>
        <w:jc w:val="both"/>
        <w:rPr>
          <w:color w:val="000000"/>
          <w:sz w:val="18"/>
          <w:szCs w:val="18"/>
        </w:rPr>
      </w:pPr>
      <w:r w:rsidRPr="00FF029A">
        <w:rPr>
          <w:color w:val="000000"/>
          <w:sz w:val="18"/>
          <w:szCs w:val="18"/>
        </w:rPr>
        <w:t> </w:t>
      </w:r>
    </w:p>
    <w:p w14:paraId="169F3268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firstLine="709"/>
        <w:rPr>
          <w:color w:val="000000"/>
          <w:sz w:val="27"/>
          <w:szCs w:val="27"/>
        </w:rPr>
      </w:pPr>
      <w:r w:rsidRPr="00FF029A">
        <w:rPr>
          <w:color w:val="000000"/>
        </w:rPr>
        <w:t>Ištaisyti rašymo apsirikimą Lietuvos vyriausiojo administracinio teismo 2019 m. liepos 24 d. nutartyje, priimtoje administracinėje byloje Nr. eA-721-525/2019, šios nutarties titulinėje dalyje nurodant, kad administracinės bylos Nr. eA-721-525/2019, teisminio proceso Nr. 3-61-3-00650-2017-4.</w:t>
      </w:r>
    </w:p>
    <w:p w14:paraId="745D6ADD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firstLine="720"/>
        <w:rPr>
          <w:color w:val="000000"/>
          <w:sz w:val="27"/>
          <w:szCs w:val="27"/>
        </w:rPr>
      </w:pPr>
      <w:r w:rsidRPr="00FF029A">
        <w:rPr>
          <w:color w:val="000000"/>
        </w:rPr>
        <w:t>Nutartis neskundžiama.</w:t>
      </w:r>
    </w:p>
    <w:p w14:paraId="3ED98B22" w14:textId="77777777" w:rsidR="00FF029A" w:rsidRPr="00FF029A" w:rsidRDefault="00FF029A" w:rsidP="00FF029A">
      <w:pPr>
        <w:pStyle w:val="normal"/>
        <w:shd w:val="clear" w:color="auto" w:fill="FFFFFF"/>
        <w:spacing w:before="5" w:beforeAutospacing="0" w:after="0" w:afterAutospacing="0" w:line="240" w:lineRule="atLeast"/>
        <w:jc w:val="both"/>
        <w:rPr>
          <w:color w:val="000000"/>
        </w:rPr>
      </w:pPr>
      <w:r w:rsidRPr="00FF029A">
        <w:rPr>
          <w:color w:val="000000"/>
        </w:rPr>
        <w:t> </w:t>
      </w:r>
    </w:p>
    <w:p w14:paraId="3ABB7217" w14:textId="77777777" w:rsidR="00FF029A" w:rsidRPr="00FF029A" w:rsidRDefault="00FF029A" w:rsidP="00FF029A">
      <w:pPr>
        <w:pStyle w:val="normal"/>
        <w:shd w:val="clear" w:color="auto" w:fill="FFFFFF"/>
        <w:spacing w:before="5" w:beforeAutospacing="0" w:after="0" w:afterAutospacing="0" w:line="240" w:lineRule="atLeast"/>
        <w:jc w:val="both"/>
        <w:rPr>
          <w:color w:val="000000"/>
        </w:rPr>
      </w:pPr>
      <w:r w:rsidRPr="00FF029A">
        <w:rPr>
          <w:color w:val="000000"/>
        </w:rPr>
        <w:t> </w:t>
      </w:r>
    </w:p>
    <w:p w14:paraId="4414B4EC" w14:textId="5E8F3024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t>Teisėjai                                                                           </w:t>
      </w:r>
      <w:r>
        <w:rPr>
          <w:color w:val="000000"/>
        </w:rPr>
        <w:tab/>
      </w:r>
      <w:r w:rsidRPr="00FF029A">
        <w:rPr>
          <w:color w:val="000000"/>
        </w:rPr>
        <w:t>  Laimutis Alechnavičius</w:t>
      </w:r>
    </w:p>
    <w:p w14:paraId="696D9008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both"/>
        <w:rPr>
          <w:color w:val="000000"/>
        </w:rPr>
      </w:pPr>
      <w:r w:rsidRPr="00FF029A">
        <w:rPr>
          <w:color w:val="000000"/>
        </w:rPr>
        <w:t> </w:t>
      </w:r>
    </w:p>
    <w:p w14:paraId="2B3B7BFE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both"/>
        <w:rPr>
          <w:color w:val="000000"/>
        </w:rPr>
      </w:pPr>
      <w:r w:rsidRPr="00FF029A">
        <w:rPr>
          <w:color w:val="000000"/>
        </w:rPr>
        <w:t> </w:t>
      </w:r>
    </w:p>
    <w:p w14:paraId="24108722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left="5184" w:firstLine="1296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t>Audrius </w:t>
      </w:r>
      <w:proofErr w:type="spellStart"/>
      <w:r w:rsidRPr="00FF029A">
        <w:rPr>
          <w:color w:val="000000"/>
        </w:rPr>
        <w:t>Bakaveckas</w:t>
      </w:r>
      <w:proofErr w:type="spellEnd"/>
    </w:p>
    <w:p w14:paraId="291CDE3F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FF029A">
        <w:rPr>
          <w:color w:val="000000"/>
        </w:rPr>
        <w:t> </w:t>
      </w:r>
    </w:p>
    <w:p w14:paraId="5386E7E2" w14:textId="77777777" w:rsidR="00FF029A" w:rsidRPr="00FF029A" w:rsidRDefault="00FF029A" w:rsidP="00FF029A">
      <w:pPr>
        <w:pStyle w:val="normal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FF029A">
        <w:rPr>
          <w:color w:val="000000"/>
        </w:rPr>
        <w:t> </w:t>
      </w:r>
    </w:p>
    <w:p w14:paraId="797AB080" w14:textId="6BCCF470" w:rsidR="00FF029A" w:rsidRPr="00FF029A" w:rsidRDefault="00FF029A" w:rsidP="00FF029A">
      <w:pPr>
        <w:pStyle w:val="normal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 w:rsidRPr="00FF029A">
        <w:rPr>
          <w:color w:val="000000"/>
        </w:rPr>
        <w:t>                                                                                     </w:t>
      </w:r>
      <w:r>
        <w:rPr>
          <w:color w:val="000000"/>
        </w:rPr>
        <w:tab/>
      </w:r>
      <w:r>
        <w:rPr>
          <w:color w:val="000000"/>
        </w:rPr>
        <w:tab/>
      </w:r>
      <w:r w:rsidRPr="00FF029A">
        <w:rPr>
          <w:color w:val="000000"/>
        </w:rPr>
        <w:t>   Rytis Krasauskas</w:t>
      </w:r>
    </w:p>
    <w:p w14:paraId="0A708456" w14:textId="77777777" w:rsidR="008D304D" w:rsidRPr="00FF029A" w:rsidRDefault="008D304D" w:rsidP="00FF029A">
      <w:pPr>
        <w:rPr>
          <w:rFonts w:ascii="Times New Roman" w:hAnsi="Times New Roman" w:cs="Times New Roman"/>
        </w:rPr>
      </w:pPr>
    </w:p>
    <w:sectPr w:rsidR="008D304D" w:rsidRPr="00FF02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9A"/>
    <w:rsid w:val="008D304D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C3E8"/>
  <w15:chartTrackingRefBased/>
  <w15:docId w15:val="{5CA40358-C4D9-437C-83B6-DBA460E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ubtitle">
    <w:name w:val="subtitle"/>
    <w:basedOn w:val="prastasis"/>
    <w:rsid w:val="00FF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rmal">
    <w:name w:val="normal"/>
    <w:basedOn w:val="prastasis"/>
    <w:rsid w:val="00FF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-text">
    <w:name w:val="body-text"/>
    <w:basedOn w:val="prastasis"/>
    <w:rsid w:val="00FF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1850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Geda Girdvainytė</dc:creator>
  <cp:keywords/>
  <dc:description/>
  <cp:lastModifiedBy>Geda Girdvainytė</cp:lastModifiedBy>
  <cp:revision>1</cp:revision>
  <dcterms:created xsi:type="dcterms:W3CDTF">2021-03-29T09:05:00Z</dcterms:created>
  <dcterms:modified xsi:type="dcterms:W3CDTF">2021-03-29T09:06:00Z</dcterms:modified>
</cp:coreProperties>
</file>