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80B8" w14:textId="77777777" w:rsidR="00672183" w:rsidRPr="00A76887" w:rsidRDefault="00672183" w:rsidP="00672183">
      <w:pPr>
        <w:pStyle w:val="Pavadinimas"/>
        <w:ind w:left="5103"/>
        <w:jc w:val="left"/>
        <w:rPr>
          <w:b w:val="0"/>
        </w:rPr>
      </w:pPr>
      <w:r w:rsidRPr="004F61F6">
        <w:rPr>
          <w:b w:val="0"/>
        </w:rPr>
        <w:t>PATVIRTINTA</w:t>
      </w:r>
    </w:p>
    <w:p w14:paraId="277AB563" w14:textId="77777777" w:rsidR="00B13133" w:rsidRDefault="00B13133" w:rsidP="00B13133">
      <w:pPr>
        <w:pStyle w:val="Pavadinimas"/>
        <w:ind w:left="5103"/>
        <w:jc w:val="left"/>
        <w:rPr>
          <w:b w:val="0"/>
        </w:rPr>
      </w:pPr>
      <w:r>
        <w:rPr>
          <w:b w:val="0"/>
        </w:rPr>
        <w:t xml:space="preserve">Vilniaus miesto savivaldybės </w:t>
      </w:r>
    </w:p>
    <w:p w14:paraId="298D66B1" w14:textId="77777777" w:rsidR="00672183" w:rsidRPr="00FE4A4C" w:rsidRDefault="00B13133" w:rsidP="00B13133">
      <w:pPr>
        <w:pStyle w:val="Pavadinimas"/>
        <w:ind w:left="5103"/>
        <w:jc w:val="left"/>
        <w:rPr>
          <w:b w:val="0"/>
        </w:rPr>
      </w:pPr>
      <w:r>
        <w:rPr>
          <w:b w:val="0"/>
        </w:rPr>
        <w:t>administracijos direktoriaus</w:t>
      </w:r>
    </w:p>
    <w:p w14:paraId="726FB729" w14:textId="1046E487" w:rsidR="00121237" w:rsidRDefault="0080273F" w:rsidP="00672183">
      <w:pPr>
        <w:pStyle w:val="Pavadinimas"/>
        <w:ind w:left="5103"/>
        <w:jc w:val="left"/>
        <w:rPr>
          <w:b w:val="0"/>
        </w:rPr>
      </w:pPr>
      <w:r>
        <w:rPr>
          <w:b w:val="0"/>
        </w:rPr>
        <w:t>20</w:t>
      </w:r>
      <w:r w:rsidR="00BA329A">
        <w:rPr>
          <w:b w:val="0"/>
        </w:rPr>
        <w:t>2</w:t>
      </w:r>
      <w:r w:rsidR="00874B36" w:rsidRPr="00F2563A">
        <w:rPr>
          <w:b w:val="0"/>
          <w:lang w:val="pt-BR"/>
        </w:rPr>
        <w:t>6</w:t>
      </w:r>
      <w:r w:rsidR="00672183" w:rsidRPr="004F61F6">
        <w:rPr>
          <w:b w:val="0"/>
        </w:rPr>
        <w:t xml:space="preserve"> m.</w:t>
      </w:r>
      <w:r w:rsidR="00672183">
        <w:rPr>
          <w:b w:val="0"/>
        </w:rPr>
        <w:t xml:space="preserve"> </w:t>
      </w:r>
    </w:p>
    <w:p w14:paraId="30A951F8" w14:textId="7AB7A632" w:rsidR="00672183" w:rsidRPr="004F61F6" w:rsidRDefault="00672183" w:rsidP="00672183">
      <w:pPr>
        <w:pStyle w:val="Pavadinimas"/>
        <w:ind w:left="5103"/>
        <w:jc w:val="left"/>
        <w:rPr>
          <w:b w:val="0"/>
        </w:rPr>
      </w:pPr>
      <w:r w:rsidRPr="004F61F6">
        <w:rPr>
          <w:b w:val="0"/>
        </w:rPr>
        <w:t>įsakymu Nr.</w:t>
      </w:r>
      <w:r>
        <w:rPr>
          <w:b w:val="0"/>
        </w:rPr>
        <w:t>____</w:t>
      </w:r>
    </w:p>
    <w:p w14:paraId="6ABA5D60" w14:textId="77777777" w:rsidR="00672183" w:rsidRDefault="00672183" w:rsidP="00672183">
      <w:pPr>
        <w:pStyle w:val="Pavadinimas"/>
        <w:ind w:left="5103"/>
        <w:jc w:val="left"/>
      </w:pPr>
    </w:p>
    <w:p w14:paraId="0A9D1441" w14:textId="77777777" w:rsidR="00F03A04" w:rsidRPr="00F03A04" w:rsidRDefault="00F03A04" w:rsidP="00672183">
      <w:pPr>
        <w:pStyle w:val="Pavadinimas"/>
        <w:ind w:left="5103"/>
        <w:jc w:val="left"/>
        <w:rPr>
          <w:bCs w:val="0"/>
        </w:rPr>
      </w:pPr>
    </w:p>
    <w:p w14:paraId="003B635A" w14:textId="641D3041" w:rsidR="00672183" w:rsidRPr="002E56DE" w:rsidRDefault="00F03A04" w:rsidP="002E56DE">
      <w:pPr>
        <w:pStyle w:val="Pavadinimas"/>
        <w:rPr>
          <w:bCs w:val="0"/>
        </w:rPr>
      </w:pPr>
      <w:r w:rsidRPr="00F03A04">
        <w:rPr>
          <w:bCs w:val="0"/>
        </w:rPr>
        <w:t xml:space="preserve">VILNIAUS MIESTO SAVIVALDYBĖS ADMINISTRACIJOS </w:t>
      </w:r>
      <w:r w:rsidR="00F2563A">
        <w:rPr>
          <w:bCs w:val="0"/>
        </w:rPr>
        <w:t>NAUJAMIESČIO</w:t>
      </w:r>
      <w:r w:rsidRPr="00F03A04">
        <w:rPr>
          <w:bCs w:val="0"/>
        </w:rPr>
        <w:t xml:space="preserve"> SENIŪNIJOS</w:t>
      </w:r>
      <w:r w:rsidR="002E56DE">
        <w:rPr>
          <w:bCs w:val="0"/>
        </w:rPr>
        <w:t xml:space="preserve"> </w:t>
      </w:r>
      <w:r w:rsidR="00922EC3">
        <w:rPr>
          <w:iCs/>
        </w:rPr>
        <w:t>20</w:t>
      </w:r>
      <w:r w:rsidR="00384473">
        <w:rPr>
          <w:iCs/>
        </w:rPr>
        <w:t>2</w:t>
      </w:r>
      <w:r w:rsidR="00874B36" w:rsidRPr="00F2563A">
        <w:rPr>
          <w:iCs/>
          <w:lang w:val="pt-BR"/>
        </w:rPr>
        <w:t>6</w:t>
      </w:r>
      <w:r w:rsidR="00922EC3">
        <w:rPr>
          <w:iCs/>
        </w:rPr>
        <w:t xml:space="preserve"> </w:t>
      </w:r>
      <w:r w:rsidR="00672183" w:rsidRPr="004F61F6">
        <w:t>METŲ VEIKLOS PLANAS</w:t>
      </w:r>
    </w:p>
    <w:p w14:paraId="015F1784" w14:textId="77777777" w:rsidR="00672183" w:rsidRPr="004F61F6" w:rsidRDefault="00672183" w:rsidP="00672183"/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34"/>
      </w:tblGrid>
      <w:tr w:rsidR="00AC0174" w:rsidRPr="004F61F6" w14:paraId="454D6BD7" w14:textId="77777777" w:rsidTr="002E56DE">
        <w:trPr>
          <w:trHeight w:val="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CFB0" w14:textId="77777777" w:rsidR="00AC0174" w:rsidRPr="00550C74" w:rsidRDefault="00AC0174" w:rsidP="00B81208">
            <w:pPr>
              <w:pStyle w:val="Antrats"/>
              <w:tabs>
                <w:tab w:val="left" w:pos="1296"/>
              </w:tabs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65A5" w14:textId="77777777" w:rsidR="00AC0174" w:rsidRDefault="00AC0174" w:rsidP="00B81208">
            <w:pPr>
              <w:pStyle w:val="Antrats"/>
              <w:tabs>
                <w:tab w:val="left" w:pos="1296"/>
              </w:tabs>
              <w:spacing w:before="0" w:beforeAutospacing="0" w:after="0" w:afterAutospacing="0"/>
              <w:rPr>
                <w:bCs/>
              </w:rPr>
            </w:pPr>
            <w:r>
              <w:rPr>
                <w:b/>
                <w:bCs/>
              </w:rPr>
              <w:t>Padalinio</w:t>
            </w:r>
            <w:r w:rsidRPr="00550C74">
              <w:rPr>
                <w:b/>
                <w:bCs/>
              </w:rPr>
              <w:t xml:space="preserve"> misija</w:t>
            </w:r>
            <w:r w:rsidRPr="004F61F6">
              <w:rPr>
                <w:bCs/>
              </w:rPr>
              <w:t xml:space="preserve"> </w:t>
            </w:r>
          </w:p>
          <w:p w14:paraId="5DC14DC5" w14:textId="77777777" w:rsidR="00AC0174" w:rsidRPr="00A31F82" w:rsidRDefault="00AC0174" w:rsidP="00B81208">
            <w:pPr>
              <w:pStyle w:val="Betarp"/>
              <w:rPr>
                <w:rFonts w:cs="Times New Roman"/>
                <w:szCs w:val="24"/>
              </w:rPr>
            </w:pPr>
            <w:r w:rsidRPr="00A31F82">
              <w:rPr>
                <w:rFonts w:cs="Times New Roman"/>
                <w:szCs w:val="24"/>
              </w:rPr>
              <w:t xml:space="preserve">Misija – seniūnija, gebanti kompetentingai analizuoti seniūnijos bendruomenės </w:t>
            </w:r>
            <w:r>
              <w:rPr>
                <w:rFonts w:cs="Times New Roman"/>
                <w:szCs w:val="24"/>
              </w:rPr>
              <w:t>poreikius</w:t>
            </w:r>
            <w:r w:rsidRPr="00A31F82">
              <w:rPr>
                <w:rFonts w:cs="Times New Roman"/>
                <w:szCs w:val="24"/>
              </w:rPr>
              <w:t xml:space="preserve"> ir priimti </w:t>
            </w:r>
            <w:r>
              <w:rPr>
                <w:rFonts w:cs="Times New Roman"/>
                <w:szCs w:val="24"/>
              </w:rPr>
              <w:t xml:space="preserve">kokybiškus </w:t>
            </w:r>
            <w:r w:rsidRPr="00A31F82">
              <w:rPr>
                <w:rFonts w:cs="Times New Roman"/>
                <w:szCs w:val="24"/>
              </w:rPr>
              <w:t>sprendimus, teikianti kokybiškas paslaugas ir užtikrin</w:t>
            </w:r>
            <w:r>
              <w:rPr>
                <w:rFonts w:cs="Times New Roman"/>
                <w:szCs w:val="24"/>
              </w:rPr>
              <w:t>anti</w:t>
            </w:r>
            <w:r w:rsidRPr="00A31F82">
              <w:rPr>
                <w:rFonts w:cs="Times New Roman"/>
                <w:szCs w:val="24"/>
              </w:rPr>
              <w:t xml:space="preserve"> operatyvią</w:t>
            </w:r>
            <w:r>
              <w:rPr>
                <w:rFonts w:cs="Times New Roman"/>
                <w:szCs w:val="24"/>
              </w:rPr>
              <w:t xml:space="preserve"> ir efektyvią</w:t>
            </w:r>
            <w:r w:rsidRPr="00A31F82">
              <w:rPr>
                <w:rFonts w:cs="Times New Roman"/>
                <w:szCs w:val="24"/>
              </w:rPr>
              <w:t xml:space="preserve"> informacijos sklaidą, </w:t>
            </w:r>
            <w:r>
              <w:rPr>
                <w:rFonts w:cs="Times New Roman"/>
                <w:szCs w:val="24"/>
              </w:rPr>
              <w:t>skatinanti aktyvų bendruomenės narių dalyvavimą sprendimų priėmim</w:t>
            </w:r>
            <w:r w:rsidR="00AF6B43">
              <w:rPr>
                <w:rFonts w:cs="Times New Roman"/>
                <w:szCs w:val="24"/>
              </w:rPr>
              <w:t>o procese</w:t>
            </w:r>
            <w:r>
              <w:rPr>
                <w:rFonts w:cs="Times New Roman"/>
                <w:szCs w:val="24"/>
              </w:rPr>
              <w:t>, kuriant darnią gyvenamąją aplinką.</w:t>
            </w:r>
            <w:r w:rsidRPr="00A31F82">
              <w:rPr>
                <w:rFonts w:cs="Times New Roman"/>
                <w:szCs w:val="24"/>
              </w:rPr>
              <w:t xml:space="preserve"> </w:t>
            </w:r>
          </w:p>
          <w:p w14:paraId="5BD16ECF" w14:textId="77777777" w:rsidR="00AC0174" w:rsidRPr="00A31F82" w:rsidRDefault="00AC0174" w:rsidP="00922EC3">
            <w:pPr>
              <w:pStyle w:val="Betarp"/>
              <w:rPr>
                <w:rFonts w:cs="Times New Roman"/>
                <w:b/>
                <w:szCs w:val="24"/>
              </w:rPr>
            </w:pPr>
            <w:r w:rsidRPr="00A31F82">
              <w:rPr>
                <w:rFonts w:cs="Times New Roman"/>
                <w:szCs w:val="24"/>
              </w:rPr>
              <w:t xml:space="preserve">Vertybės – operatyvumas reaguojant į iškilusias problemas, profesionalumas ir objektyvumas priimant sprendimus, atvirumas ir iniciatyvumas naujovėms, kokybiška informacijos sklaida. </w:t>
            </w:r>
          </w:p>
          <w:p w14:paraId="0C94D8CA" w14:textId="77777777" w:rsidR="00AC0174" w:rsidRPr="00CA705C" w:rsidRDefault="00AC0174" w:rsidP="00922EC3">
            <w:pPr>
              <w:pStyle w:val="Betarp"/>
              <w:rPr>
                <w:rFonts w:cs="Times New Roman"/>
                <w:szCs w:val="24"/>
              </w:rPr>
            </w:pPr>
            <w:r w:rsidRPr="00A31F82">
              <w:rPr>
                <w:rFonts w:cs="Times New Roman"/>
                <w:szCs w:val="24"/>
              </w:rPr>
              <w:t xml:space="preserve">Tikslai – pokyčių įgyvendinimas, siekiant didinti </w:t>
            </w:r>
            <w:r>
              <w:rPr>
                <w:rFonts w:cs="Times New Roman"/>
                <w:szCs w:val="24"/>
              </w:rPr>
              <w:t>gyventojų</w:t>
            </w:r>
            <w:r w:rsidRPr="00A31F82">
              <w:rPr>
                <w:rFonts w:cs="Times New Roman"/>
                <w:szCs w:val="24"/>
              </w:rPr>
              <w:t xml:space="preserve"> pasitenkinimą gyvenamąja aplinka, </w:t>
            </w:r>
            <w:r>
              <w:rPr>
                <w:rFonts w:cs="Times New Roman"/>
                <w:szCs w:val="24"/>
              </w:rPr>
              <w:t>savivaldybės</w:t>
            </w:r>
            <w:r w:rsidRPr="00A31F8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teikiamomis paslaugomis</w:t>
            </w:r>
            <w:r w:rsidRPr="00A31F82">
              <w:rPr>
                <w:rFonts w:cs="Times New Roman"/>
                <w:szCs w:val="24"/>
              </w:rPr>
              <w:t xml:space="preserve">, seniūnijų, kaip gyventojų informavimo centrų, </w:t>
            </w:r>
            <w:r>
              <w:rPr>
                <w:rFonts w:cs="Times New Roman"/>
                <w:szCs w:val="24"/>
              </w:rPr>
              <w:t>stiprinimas</w:t>
            </w:r>
            <w:r w:rsidRPr="00A31F82">
              <w:rPr>
                <w:rFonts w:cs="Times New Roman"/>
                <w:szCs w:val="24"/>
              </w:rPr>
              <w:t>.</w:t>
            </w:r>
          </w:p>
        </w:tc>
      </w:tr>
      <w:tr w:rsidR="00AC0174" w:rsidRPr="004F61F6" w14:paraId="343F20E9" w14:textId="77777777" w:rsidTr="002E56DE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E242" w14:textId="77777777" w:rsidR="00AC0174" w:rsidRPr="00336118" w:rsidRDefault="00AC0174" w:rsidP="0067218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44B06">
              <w:rPr>
                <w:b/>
                <w:bCs/>
              </w:rPr>
              <w:t>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34C7" w14:textId="77777777" w:rsidR="00377323" w:rsidRDefault="00377323" w:rsidP="00672183">
            <w:pPr>
              <w:rPr>
                <w:b/>
                <w:bCs/>
              </w:rPr>
            </w:pPr>
          </w:p>
          <w:p w14:paraId="0FAADEF0" w14:textId="46A70081" w:rsidR="00AC0174" w:rsidRPr="00336118" w:rsidRDefault="00AC0174" w:rsidP="00672183">
            <w:pPr>
              <w:rPr>
                <w:b/>
                <w:bCs/>
              </w:rPr>
            </w:pPr>
            <w:r w:rsidRPr="00336118">
              <w:rPr>
                <w:b/>
                <w:bCs/>
              </w:rPr>
              <w:t xml:space="preserve">Vilniaus miesto savivaldybės strateginio veiklos plano elementai: </w:t>
            </w:r>
          </w:p>
          <w:p w14:paraId="29375250" w14:textId="77777777" w:rsidR="00AC0174" w:rsidRPr="00336118" w:rsidRDefault="00AC0174" w:rsidP="00FF7F58">
            <w:pPr>
              <w:jc w:val="both"/>
              <w:rPr>
                <w:bCs/>
              </w:rPr>
            </w:pPr>
          </w:p>
          <w:p w14:paraId="4A5D9896" w14:textId="0AB9C9DE" w:rsidR="00AC0174" w:rsidRPr="00336118" w:rsidRDefault="00121237" w:rsidP="00FF7F58">
            <w:pPr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Pr="00336118">
              <w:rPr>
                <w:bCs/>
              </w:rPr>
              <w:t xml:space="preserve">rogramos </w:t>
            </w:r>
            <w:r w:rsidR="00AC0174" w:rsidRPr="00336118">
              <w:rPr>
                <w:bCs/>
              </w:rPr>
              <w:t xml:space="preserve">pavadinimas ir jos kodas: </w:t>
            </w:r>
          </w:p>
          <w:p w14:paraId="03B37DF3" w14:textId="1481ED51" w:rsidR="00AC0174" w:rsidRPr="00F2563A" w:rsidRDefault="00121237" w:rsidP="00FF7F58">
            <w:pPr>
              <w:jc w:val="both"/>
              <w:rPr>
                <w:bCs/>
                <w:lang w:val="pt-BR"/>
              </w:rPr>
            </w:pPr>
            <w:r>
              <w:rPr>
                <w:bCs/>
              </w:rPr>
              <w:t>„</w:t>
            </w:r>
            <w:r w:rsidR="00AC0174" w:rsidRPr="00CA705C">
              <w:rPr>
                <w:bCs/>
              </w:rPr>
              <w:t>Kultūra</w:t>
            </w:r>
            <w:r>
              <w:rPr>
                <w:bCs/>
              </w:rPr>
              <w:t>“</w:t>
            </w:r>
            <w:r w:rsidR="00AC0174" w:rsidRPr="00CA705C">
              <w:rPr>
                <w:bCs/>
              </w:rPr>
              <w:t xml:space="preserve">, </w:t>
            </w:r>
            <w:r w:rsidR="00AC0174" w:rsidRPr="00F2563A">
              <w:rPr>
                <w:bCs/>
                <w:lang w:val="pt-BR"/>
              </w:rPr>
              <w:t>04</w:t>
            </w:r>
            <w:r w:rsidRPr="00F2563A">
              <w:rPr>
                <w:bCs/>
                <w:lang w:val="pt-BR"/>
              </w:rPr>
              <w:t>.</w:t>
            </w:r>
          </w:p>
          <w:p w14:paraId="17F38362" w14:textId="77777777" w:rsidR="00AC0174" w:rsidRPr="00F2563A" w:rsidRDefault="00AC0174" w:rsidP="00354634">
            <w:pPr>
              <w:jc w:val="both"/>
              <w:rPr>
                <w:bCs/>
                <w:lang w:val="pt-BR"/>
              </w:rPr>
            </w:pPr>
          </w:p>
          <w:p w14:paraId="7404119A" w14:textId="577A0195" w:rsidR="00AC0174" w:rsidRPr="00121237" w:rsidRDefault="00121237" w:rsidP="00672183">
            <w:pPr>
              <w:rPr>
                <w:bCs/>
              </w:rPr>
            </w:pPr>
            <w:r w:rsidRPr="00121237">
              <w:rPr>
                <w:bCs/>
              </w:rPr>
              <w:t xml:space="preserve">Programos </w:t>
            </w:r>
            <w:r w:rsidR="00AC0174" w:rsidRPr="00121237">
              <w:rPr>
                <w:bCs/>
              </w:rPr>
              <w:t xml:space="preserve">tikslo pavadinimas ir jo kodas: </w:t>
            </w:r>
          </w:p>
          <w:p w14:paraId="5B243A54" w14:textId="7E9BA411" w:rsidR="00AC0174" w:rsidRPr="00CA705C" w:rsidRDefault="00121237" w:rsidP="00672183">
            <w:r>
              <w:rPr>
                <w:bCs/>
              </w:rPr>
              <w:t>„</w:t>
            </w:r>
            <w:r w:rsidR="00036F06" w:rsidRPr="00CA705C">
              <w:rPr>
                <w:bCs/>
              </w:rPr>
              <w:t>Įtrauki ir prieinama aukštos vertės kultūra visiems vilniečiams ir miesto svečiams</w:t>
            </w:r>
            <w:r>
              <w:rPr>
                <w:bCs/>
              </w:rPr>
              <w:t>“</w:t>
            </w:r>
            <w:r w:rsidR="00036F06" w:rsidRPr="00CA705C">
              <w:rPr>
                <w:bCs/>
              </w:rPr>
              <w:t>, SVP kodas 4.1</w:t>
            </w:r>
            <w:r w:rsidRPr="00CA705C">
              <w:t>.</w:t>
            </w:r>
          </w:p>
          <w:p w14:paraId="17DE8C3F" w14:textId="77777777" w:rsidR="00AC0174" w:rsidRPr="00336118" w:rsidRDefault="00AC0174" w:rsidP="00672183">
            <w:pPr>
              <w:rPr>
                <w:bCs/>
                <w:u w:val="single"/>
              </w:rPr>
            </w:pPr>
          </w:p>
          <w:p w14:paraId="4FB71DA9" w14:textId="33F21271" w:rsidR="00AC0174" w:rsidRPr="00336118" w:rsidRDefault="00121237" w:rsidP="00672183">
            <w:pPr>
              <w:rPr>
                <w:bCs/>
              </w:rPr>
            </w:pPr>
            <w:r>
              <w:rPr>
                <w:bCs/>
              </w:rPr>
              <w:t>P</w:t>
            </w:r>
            <w:r w:rsidRPr="00336118">
              <w:rPr>
                <w:bCs/>
              </w:rPr>
              <w:t xml:space="preserve">rogramos </w:t>
            </w:r>
            <w:r w:rsidR="00AC0174" w:rsidRPr="00336118">
              <w:rPr>
                <w:bCs/>
              </w:rPr>
              <w:t xml:space="preserve">uždavinio pavadinimas ir jo kodas: </w:t>
            </w:r>
          </w:p>
          <w:p w14:paraId="3EF9AEE4" w14:textId="491D5BD6" w:rsidR="00AC0174" w:rsidRPr="00CA705C" w:rsidRDefault="00121237" w:rsidP="00672183">
            <w:r w:rsidRPr="00CA705C">
              <w:t>„</w:t>
            </w:r>
            <w:r w:rsidR="00AC0174" w:rsidRPr="00CA705C">
              <w:t>Įvairi ir kokybiška kultūra prieinama visoms visuomenės grupėms ir miesto svečiams</w:t>
            </w:r>
            <w:r w:rsidRPr="00CA705C">
              <w:t>“</w:t>
            </w:r>
            <w:r w:rsidR="00AC0174" w:rsidRPr="00CA705C">
              <w:t>, SVP kodas 4.1.1;</w:t>
            </w:r>
          </w:p>
          <w:p w14:paraId="0BB73A25" w14:textId="77777777" w:rsidR="00AC0174" w:rsidRPr="00CA705C" w:rsidRDefault="00AC0174" w:rsidP="00672183"/>
          <w:p w14:paraId="0F3E64B4" w14:textId="6E9119E8" w:rsidR="00AC0174" w:rsidRPr="00CA705C" w:rsidRDefault="00121237" w:rsidP="00354634">
            <w:bookmarkStart w:id="0" w:name="_Hlk218765339"/>
            <w:r w:rsidRPr="00121237">
              <w:rPr>
                <w:bCs/>
              </w:rPr>
              <w:t xml:space="preserve">Programos </w:t>
            </w:r>
            <w:r w:rsidR="00AC0174" w:rsidRPr="00121237">
              <w:rPr>
                <w:bCs/>
              </w:rPr>
              <w:t xml:space="preserve">priemonės pavadinimas ir jos kodas: </w:t>
            </w:r>
            <w:r w:rsidRPr="00CA705C">
              <w:rPr>
                <w:bCs/>
                <w:i/>
                <w:iCs/>
              </w:rPr>
              <w:t>„</w:t>
            </w:r>
            <w:r w:rsidR="00B528F9" w:rsidRPr="00B528F9">
              <w:rPr>
                <w:bCs/>
              </w:rPr>
              <w:t xml:space="preserve">Naujamiesčio </w:t>
            </w:r>
            <w:r w:rsidRPr="00B528F9">
              <w:t xml:space="preserve"> </w:t>
            </w:r>
            <w:r w:rsidR="00AC0174" w:rsidRPr="00CA705C">
              <w:t>bendruomenės kultūrinės veiklos plėtra</w:t>
            </w:r>
            <w:r w:rsidRPr="00CA705C">
              <w:t>“</w:t>
            </w:r>
            <w:r w:rsidR="00AC0174" w:rsidRPr="00CA705C">
              <w:t>,</w:t>
            </w:r>
            <w:r w:rsidR="00B528F9">
              <w:t xml:space="preserve"> 2040</w:t>
            </w:r>
            <w:r w:rsidR="00802E78">
              <w:t>90107</w:t>
            </w:r>
            <w:r w:rsidRPr="00CA705C">
              <w:t>.</w:t>
            </w:r>
          </w:p>
          <w:p w14:paraId="67A9F6E6" w14:textId="77777777" w:rsidR="00AC0174" w:rsidRPr="00CA705C" w:rsidRDefault="00AC0174" w:rsidP="00354634"/>
          <w:p w14:paraId="7E71C784" w14:textId="6B3319D8" w:rsidR="00AC0174" w:rsidRPr="00121237" w:rsidRDefault="00121237" w:rsidP="00354634">
            <w:pPr>
              <w:jc w:val="both"/>
              <w:rPr>
                <w:bCs/>
              </w:rPr>
            </w:pPr>
            <w:r w:rsidRPr="00121237">
              <w:rPr>
                <w:bCs/>
              </w:rPr>
              <w:t xml:space="preserve">Programos </w:t>
            </w:r>
            <w:r w:rsidR="00AC0174" w:rsidRPr="00121237">
              <w:rPr>
                <w:bCs/>
              </w:rPr>
              <w:t xml:space="preserve">pavadinimas ir jos kodas: </w:t>
            </w:r>
          </w:p>
          <w:p w14:paraId="6E001DB8" w14:textId="15D9E2B8" w:rsidR="00AC0174" w:rsidRPr="00CA705C" w:rsidRDefault="00121237" w:rsidP="00354634">
            <w:pPr>
              <w:rPr>
                <w:bCs/>
              </w:rPr>
            </w:pPr>
            <w:r w:rsidRPr="00CA705C">
              <w:t>„</w:t>
            </w:r>
            <w:r w:rsidR="00AC0174" w:rsidRPr="00CA705C">
              <w:t>Aplinka ir miesto plėtra</w:t>
            </w:r>
            <w:r w:rsidRPr="00CA705C">
              <w:t>“</w:t>
            </w:r>
            <w:r w:rsidR="00AC0174" w:rsidRPr="00CA705C">
              <w:t xml:space="preserve">, </w:t>
            </w:r>
            <w:r w:rsidR="00AC0174" w:rsidRPr="00F2563A">
              <w:rPr>
                <w:lang w:val="pt-BR"/>
              </w:rPr>
              <w:t>07</w:t>
            </w:r>
          </w:p>
          <w:p w14:paraId="158104F9" w14:textId="77777777" w:rsidR="00AC0174" w:rsidRPr="00F2563A" w:rsidRDefault="00AC0174" w:rsidP="00354634">
            <w:pPr>
              <w:jc w:val="both"/>
              <w:rPr>
                <w:bCs/>
                <w:lang w:val="pt-BR"/>
              </w:rPr>
            </w:pPr>
          </w:p>
          <w:p w14:paraId="11A871F1" w14:textId="227361B1" w:rsidR="00AC0174" w:rsidRPr="00121237" w:rsidRDefault="00121237" w:rsidP="00354634">
            <w:pPr>
              <w:rPr>
                <w:bCs/>
              </w:rPr>
            </w:pPr>
            <w:r w:rsidRPr="00121237">
              <w:rPr>
                <w:bCs/>
              </w:rPr>
              <w:t xml:space="preserve">Programos </w:t>
            </w:r>
            <w:r w:rsidR="00AC0174" w:rsidRPr="00121237">
              <w:rPr>
                <w:bCs/>
              </w:rPr>
              <w:t xml:space="preserve">tikslo pavadinimas ir jo kodas: </w:t>
            </w:r>
          </w:p>
          <w:p w14:paraId="0627E7D9" w14:textId="5FC86B29" w:rsidR="00AC0174" w:rsidRPr="00CA705C" w:rsidRDefault="00121237" w:rsidP="00354634">
            <w:pPr>
              <w:jc w:val="both"/>
            </w:pPr>
            <w:r w:rsidRPr="00CA705C">
              <w:t>„</w:t>
            </w:r>
            <w:r w:rsidR="000C3545" w:rsidRPr="00CA705C">
              <w:t>Gyvenimo kokybė nepriklausoma</w:t>
            </w:r>
            <w:r w:rsidR="001A43B3" w:rsidRPr="00CA705C">
              <w:t>i</w:t>
            </w:r>
            <w:r w:rsidR="000C3545" w:rsidRPr="00CA705C">
              <w:t xml:space="preserve"> nuo rajono</w:t>
            </w:r>
            <w:r w:rsidRPr="00CA705C">
              <w:t>“</w:t>
            </w:r>
            <w:r w:rsidR="00AC0174" w:rsidRPr="00CA705C">
              <w:t>, SVP kodas 7.</w:t>
            </w:r>
            <w:r w:rsidR="000C3545" w:rsidRPr="00CA705C">
              <w:t>1</w:t>
            </w:r>
            <w:r w:rsidR="002C719D" w:rsidRPr="00CA705C">
              <w:t>;</w:t>
            </w:r>
          </w:p>
          <w:p w14:paraId="43F61346" w14:textId="77777777" w:rsidR="00AC0174" w:rsidRPr="00CA705C" w:rsidRDefault="00AC0174" w:rsidP="00354634">
            <w:pPr>
              <w:rPr>
                <w:bCs/>
              </w:rPr>
            </w:pPr>
          </w:p>
          <w:p w14:paraId="524E3B0C" w14:textId="3F777E45" w:rsidR="00AC0174" w:rsidRPr="00121237" w:rsidRDefault="00121237" w:rsidP="00354634">
            <w:pPr>
              <w:rPr>
                <w:bCs/>
              </w:rPr>
            </w:pPr>
            <w:r w:rsidRPr="00121237">
              <w:rPr>
                <w:bCs/>
              </w:rPr>
              <w:t xml:space="preserve">Programos </w:t>
            </w:r>
            <w:r w:rsidR="00AC0174" w:rsidRPr="00121237">
              <w:rPr>
                <w:bCs/>
              </w:rPr>
              <w:t xml:space="preserve">uždavinio pavadinimas ir jo kodas: </w:t>
            </w:r>
          </w:p>
          <w:p w14:paraId="1E3C144D" w14:textId="7344E998" w:rsidR="00AC0174" w:rsidRPr="00CA705C" w:rsidRDefault="00121237" w:rsidP="00354634">
            <w:r w:rsidRPr="00CA705C">
              <w:t>„</w:t>
            </w:r>
            <w:r w:rsidR="000C3545" w:rsidRPr="00CA705C">
              <w:t>Gyvenamieji rajonai  daugiafunkcė ir įdomi gyventi aplinka</w:t>
            </w:r>
            <w:r w:rsidRPr="00CA705C">
              <w:t>“</w:t>
            </w:r>
            <w:r w:rsidR="00AC0174" w:rsidRPr="00CA705C">
              <w:t>, SVP kodas 7</w:t>
            </w:r>
            <w:r w:rsidR="000C3545" w:rsidRPr="00CA705C">
              <w:t>.1.3</w:t>
            </w:r>
            <w:r w:rsidR="002C719D" w:rsidRPr="00CA705C">
              <w:t>;</w:t>
            </w:r>
          </w:p>
          <w:bookmarkEnd w:id="0"/>
          <w:p w14:paraId="01E398C1" w14:textId="77777777" w:rsidR="00AC0174" w:rsidRPr="00CA705C" w:rsidRDefault="00AC0174" w:rsidP="00672183"/>
          <w:p w14:paraId="222316E1" w14:textId="07088634" w:rsidR="00377323" w:rsidRDefault="00121237" w:rsidP="00377323">
            <w:r w:rsidRPr="00121237">
              <w:rPr>
                <w:bCs/>
              </w:rPr>
              <w:t xml:space="preserve">Programos </w:t>
            </w:r>
            <w:r w:rsidR="00AC0174" w:rsidRPr="00121237">
              <w:rPr>
                <w:bCs/>
              </w:rPr>
              <w:t xml:space="preserve">priemonės pavadinimas ir jos kodas: </w:t>
            </w:r>
            <w:r w:rsidRPr="00121237">
              <w:rPr>
                <w:bCs/>
              </w:rPr>
              <w:t>„</w:t>
            </w:r>
            <w:r w:rsidR="002D0B93">
              <w:rPr>
                <w:bCs/>
              </w:rPr>
              <w:t>Naujamiesčio</w:t>
            </w:r>
            <w:r w:rsidRPr="00CA705C">
              <w:rPr>
                <w:i/>
                <w:iCs/>
              </w:rPr>
              <w:t xml:space="preserve"> </w:t>
            </w:r>
            <w:r w:rsidR="00036F06" w:rsidRPr="00CA705C">
              <w:t>seniūnijos teritorijos priežiūra ir atnaujinimas</w:t>
            </w:r>
            <w:r w:rsidRPr="00CA705C">
              <w:t>“</w:t>
            </w:r>
            <w:r w:rsidR="00AC0174" w:rsidRPr="00CA705C">
              <w:t xml:space="preserve">, </w:t>
            </w:r>
            <w:r w:rsidR="00190487">
              <w:t>207110107</w:t>
            </w:r>
            <w:r w:rsidRPr="00CA705C">
              <w:t>.</w:t>
            </w:r>
          </w:p>
          <w:p w14:paraId="4461C088" w14:textId="77777777" w:rsidR="00377323" w:rsidRPr="00377323" w:rsidRDefault="00377323" w:rsidP="00377323"/>
          <w:p w14:paraId="00729411" w14:textId="77777777" w:rsidR="00377323" w:rsidRDefault="00377323" w:rsidP="00354634">
            <w:pPr>
              <w:jc w:val="both"/>
              <w:rPr>
                <w:bCs/>
              </w:rPr>
            </w:pPr>
          </w:p>
          <w:p w14:paraId="135EBB2B" w14:textId="77777777" w:rsidR="00377323" w:rsidRPr="00336118" w:rsidRDefault="00377323" w:rsidP="00354634">
            <w:pPr>
              <w:jc w:val="both"/>
              <w:rPr>
                <w:bCs/>
              </w:rPr>
            </w:pPr>
          </w:p>
        </w:tc>
      </w:tr>
      <w:tr w:rsidR="00AC0174" w:rsidRPr="004F61F6" w14:paraId="103E317F" w14:textId="77777777" w:rsidTr="00CB4718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5EA3" w14:textId="77777777" w:rsidR="00AC0174" w:rsidRPr="00336118" w:rsidRDefault="00AC0174" w:rsidP="00672183">
            <w:pPr>
              <w:rPr>
                <w:b/>
                <w:bCs/>
              </w:rPr>
            </w:pPr>
            <w:r w:rsidRPr="00336118">
              <w:rPr>
                <w:b/>
                <w:bCs/>
              </w:rPr>
              <w:lastRenderedPageBreak/>
              <w:t>3.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84CF" w14:textId="4B3AA34A" w:rsidR="00AC0174" w:rsidRPr="00336118" w:rsidRDefault="00AC0174" w:rsidP="00672183">
            <w:pPr>
              <w:rPr>
                <w:b/>
                <w:bCs/>
              </w:rPr>
            </w:pPr>
            <w:r w:rsidRPr="00336118">
              <w:rPr>
                <w:b/>
                <w:bCs/>
              </w:rPr>
              <w:t xml:space="preserve">Padalinio vykdomos priemonės įgyvendinimo aprašymas </w:t>
            </w:r>
          </w:p>
          <w:p w14:paraId="13B0BAC4" w14:textId="77777777" w:rsidR="00AC0174" w:rsidRPr="00336118" w:rsidRDefault="00AC0174" w:rsidP="00CA705C">
            <w:pPr>
              <w:tabs>
                <w:tab w:val="left" w:pos="487"/>
              </w:tabs>
              <w:autoSpaceDE w:val="0"/>
              <w:autoSpaceDN w:val="0"/>
              <w:adjustRightInd w:val="0"/>
              <w:ind w:firstLine="203"/>
              <w:jc w:val="both"/>
            </w:pPr>
          </w:p>
          <w:p w14:paraId="3392B14E" w14:textId="6D970E90" w:rsidR="00114CE2" w:rsidRPr="003E4F93" w:rsidRDefault="00114CE2" w:rsidP="00CA705C">
            <w:pPr>
              <w:tabs>
                <w:tab w:val="left" w:pos="487"/>
              </w:tabs>
              <w:autoSpaceDE w:val="0"/>
              <w:autoSpaceDN w:val="0"/>
              <w:adjustRightInd w:val="0"/>
              <w:ind w:firstLine="203"/>
              <w:jc w:val="both"/>
              <w:rPr>
                <w:u w:val="single"/>
              </w:rPr>
            </w:pPr>
            <w:r w:rsidRPr="003E4F93">
              <w:rPr>
                <w:u w:val="single"/>
              </w:rPr>
              <w:t>Naujamiesčio bendruomenės kultūrinės veiklos plėtra:</w:t>
            </w:r>
          </w:p>
          <w:p w14:paraId="16F90702" w14:textId="44C696A2" w:rsidR="00114CE2" w:rsidRPr="0074254B" w:rsidRDefault="003E4F93" w:rsidP="004D72B1">
            <w:pPr>
              <w:tabs>
                <w:tab w:val="left" w:pos="487"/>
              </w:tabs>
              <w:autoSpaceDE w:val="0"/>
              <w:autoSpaceDN w:val="0"/>
              <w:adjustRightInd w:val="0"/>
              <w:jc w:val="both"/>
            </w:pPr>
            <w:r w:rsidRPr="0074254B">
              <w:t xml:space="preserve">Bus organizuojamas šviesos instaliacijų S. K. Čiurlionienės skvere įsigijimas arba apšvietimo paslaugos pirkimas. Renginys </w:t>
            </w:r>
            <w:r w:rsidR="008C516B" w:rsidRPr="0074254B">
              <w:t>numatytas įgyvendinti IV ketvirtyje įvykdžius viešuosius pirkimus</w:t>
            </w:r>
            <w:r w:rsidR="004E15C3" w:rsidRPr="0074254B">
              <w:t>.</w:t>
            </w:r>
          </w:p>
          <w:p w14:paraId="01DF9489" w14:textId="37FC46B1" w:rsidR="004E15C3" w:rsidRDefault="004E15C3" w:rsidP="00CA705C">
            <w:pPr>
              <w:tabs>
                <w:tab w:val="left" w:pos="487"/>
              </w:tabs>
              <w:autoSpaceDE w:val="0"/>
              <w:autoSpaceDN w:val="0"/>
              <w:adjustRightInd w:val="0"/>
              <w:ind w:firstLine="203"/>
              <w:jc w:val="both"/>
              <w:rPr>
                <w:u w:val="single"/>
              </w:rPr>
            </w:pPr>
            <w:r w:rsidRPr="004E15C3">
              <w:rPr>
                <w:bCs/>
                <w:u w:val="single"/>
              </w:rPr>
              <w:t>Naujamiesčio</w:t>
            </w:r>
            <w:r w:rsidRPr="004E15C3">
              <w:rPr>
                <w:i/>
                <w:iCs/>
                <w:u w:val="single"/>
              </w:rPr>
              <w:t xml:space="preserve"> </w:t>
            </w:r>
            <w:r w:rsidRPr="004E15C3">
              <w:rPr>
                <w:u w:val="single"/>
              </w:rPr>
              <w:t>seniūnijos teritorijos priežiūra ir atnaujinimas</w:t>
            </w:r>
            <w:r>
              <w:rPr>
                <w:u w:val="single"/>
              </w:rPr>
              <w:t>:</w:t>
            </w:r>
          </w:p>
          <w:p w14:paraId="394EA4AE" w14:textId="7477FB6E" w:rsidR="005861F5" w:rsidRPr="000C1C07" w:rsidRDefault="008B4307" w:rsidP="004D72B1">
            <w:pPr>
              <w:jc w:val="both"/>
            </w:pPr>
            <w:r>
              <w:t xml:space="preserve">Viešosios erdvės ties </w:t>
            </w:r>
            <w:r w:rsidR="005861F5" w:rsidRPr="000C1C07">
              <w:t>„Obuolio“ skulptūra Vivulskio g</w:t>
            </w:r>
            <w:r w:rsidR="00D17752">
              <w:t>.</w:t>
            </w:r>
            <w:r>
              <w:t xml:space="preserve"> tvarkymo darbai</w:t>
            </w:r>
            <w:r w:rsidR="00521F8F">
              <w:t>. Š</w:t>
            </w:r>
            <w:r w:rsidR="005861F5" w:rsidRPr="000C1C07">
              <w:t>iukšliadėž</w:t>
            </w:r>
            <w:r w:rsidR="00521F8F">
              <w:t>ių įrengimas</w:t>
            </w:r>
            <w:r w:rsidR="005861F5" w:rsidRPr="000C1C07">
              <w:t xml:space="preserve"> </w:t>
            </w:r>
            <w:r w:rsidR="00D978B0">
              <w:t>Naugarduko seniūnaitijoje</w:t>
            </w:r>
            <w:r w:rsidR="005861F5" w:rsidRPr="000C1C07">
              <w:t xml:space="preserve">. </w:t>
            </w:r>
            <w:r w:rsidR="00D37C33">
              <w:t>Želdynų išsaugojimo darbai Karaliaus seniūnaitijoje</w:t>
            </w:r>
            <w:r w:rsidR="005861F5" w:rsidRPr="000C1C07">
              <w:t>.</w:t>
            </w:r>
            <w:r w:rsidR="00595CE8">
              <w:t xml:space="preserve"> </w:t>
            </w:r>
            <w:r w:rsidR="00CB4005">
              <w:t>Darbai turi būti atlikti iki IV ketvirčio</w:t>
            </w:r>
            <w:r w:rsidR="00021951">
              <w:t xml:space="preserve"> pabaigos po viešųjų pirkimų atlikimo arba pateikto užsakymo pagal bendrą sutartį, atsižvelgiant į ekonominio naudingumo kriterijų</w:t>
            </w:r>
            <w:r w:rsidR="00595CE8">
              <w:t>.</w:t>
            </w:r>
          </w:p>
          <w:p w14:paraId="5F83B4C9" w14:textId="77777777" w:rsidR="00C37754" w:rsidRDefault="0049209C" w:rsidP="004605D8">
            <w:pPr>
              <w:tabs>
                <w:tab w:val="left" w:pos="487"/>
              </w:tabs>
              <w:autoSpaceDE w:val="0"/>
              <w:autoSpaceDN w:val="0"/>
              <w:adjustRightInd w:val="0"/>
              <w:jc w:val="both"/>
            </w:pPr>
            <w:r w:rsidRPr="0074254B">
              <w:t>Pagal projekte „Dalyvauk</w:t>
            </w:r>
            <w:r w:rsidR="003E55B8" w:rsidRPr="00043A94">
              <w:t>!</w:t>
            </w:r>
            <w:r w:rsidR="003E55B8" w:rsidRPr="0074254B">
              <w:t xml:space="preserve"> Vilnius“ Naujamiestyje laimėjusią idėją </w:t>
            </w:r>
            <w:r w:rsidR="0074254B" w:rsidRPr="0074254B">
              <w:t>„Geriausia džiovyklė - vėjas!“</w:t>
            </w:r>
            <w:r w:rsidR="00E30177">
              <w:t xml:space="preserve"> bus </w:t>
            </w:r>
            <w:r w:rsidR="00303330">
              <w:t xml:space="preserve">išmontuotos senos, nenaudojamos ir </w:t>
            </w:r>
            <w:r w:rsidR="00E30177">
              <w:t xml:space="preserve">įrengtos </w:t>
            </w:r>
            <w:r w:rsidR="00303330" w:rsidRPr="00303330">
              <w:t>naujos – estetiško dizaino, saugios ir patogios</w:t>
            </w:r>
            <w:r w:rsidR="00DB3037">
              <w:t xml:space="preserve"> džiovyklos</w:t>
            </w:r>
            <w:r w:rsidR="00303330" w:rsidRPr="00303330">
              <w:t>.</w:t>
            </w:r>
            <w:r w:rsidR="00DB3037">
              <w:t xml:space="preserve"> </w:t>
            </w:r>
            <w:r w:rsidR="006763E6">
              <w:t>Džiovyklų adresai, kur bus išmontuotos</w:t>
            </w:r>
            <w:r w:rsidR="00C37754">
              <w:t xml:space="preserve"> senos džiovyklos</w:t>
            </w:r>
            <w:r w:rsidR="006763E6">
              <w:t>:</w:t>
            </w:r>
            <w:r w:rsidR="00C37754">
              <w:t xml:space="preserve"> </w:t>
            </w:r>
            <w:r w:rsidR="006763E6">
              <w:t xml:space="preserve">Birželio 23-osios g. 7; Vytenio g. 35; Naugarduko g. 58. </w:t>
            </w:r>
          </w:p>
          <w:p w14:paraId="01DC3D86" w14:textId="77777777" w:rsidR="00B0052C" w:rsidRDefault="00CE2509" w:rsidP="00B0052C">
            <w:pPr>
              <w:jc w:val="both"/>
            </w:pPr>
            <w:r>
              <w:t>Adresai, kur bus įrengtos naujos džiovyklos:</w:t>
            </w:r>
            <w:r w:rsidR="003800ED">
              <w:t xml:space="preserve"> Bir</w:t>
            </w:r>
            <w:r w:rsidR="00A31DDC">
              <w:t>želio 23-iosios g. 15; Vytenio g. 10</w:t>
            </w:r>
            <w:r w:rsidR="000B452D">
              <w:t>;</w:t>
            </w:r>
            <w:r w:rsidR="00A31DDC">
              <w:t xml:space="preserve"> Smolensko g. 11</w:t>
            </w:r>
            <w:r w:rsidR="000B452D">
              <w:t>; Aguonų g. 19.</w:t>
            </w:r>
            <w:r w:rsidR="00B0052C">
              <w:t xml:space="preserve"> Darbai turi būti atlikti iki IV ketvirčio pabaigos po viešųjų pirkimų atlikimo arba pateikto užsakymo pagal bendrą sutartį, atsižvelgiant į ekonominio naudingumo kriterijų.</w:t>
            </w:r>
          </w:p>
          <w:p w14:paraId="1030C91C" w14:textId="453418CB" w:rsidR="003800ED" w:rsidRDefault="00C623EE" w:rsidP="001E2AFB">
            <w:pPr>
              <w:jc w:val="both"/>
            </w:pPr>
            <w:r>
              <w:t>Šiuo planu vadovausis</w:t>
            </w:r>
            <w:r w:rsidR="00A304E1">
              <w:t xml:space="preserve"> Naujamiesčio seniūnas organizuodamas darbus </w:t>
            </w:r>
            <w:r w:rsidR="009A6FA5">
              <w:t>ar užsakydamas paslaugas atsi</w:t>
            </w:r>
            <w:r w:rsidR="00A12EE3">
              <w:t>žvelgiant į administracinius, techninius</w:t>
            </w:r>
            <w:r w:rsidR="00D36BE8">
              <w:t>, finansinius ar nenugalimos jėgos rizikos faktorius</w:t>
            </w:r>
            <w:r w:rsidR="006B4B18">
              <w:t>, galinčius įtakoti darbų atlikimą.</w:t>
            </w:r>
          </w:p>
          <w:p w14:paraId="4AD3CCF0" w14:textId="71D255DA" w:rsidR="00422B0C" w:rsidRDefault="00422B0C" w:rsidP="004605D8">
            <w:pPr>
              <w:tabs>
                <w:tab w:val="left" w:pos="487"/>
              </w:tabs>
              <w:autoSpaceDE w:val="0"/>
              <w:autoSpaceDN w:val="0"/>
              <w:adjustRightInd w:val="0"/>
              <w:jc w:val="both"/>
            </w:pPr>
            <w:r>
              <w:t xml:space="preserve">2026 metų </w:t>
            </w:r>
            <w:r w:rsidR="004E4260">
              <w:t xml:space="preserve">Naujamiesčio seniūnijos </w:t>
            </w:r>
            <w:r>
              <w:t>veiklos planas buv</w:t>
            </w:r>
            <w:r w:rsidR="004E4260">
              <w:t>o pristatytas ir jam pritarta 2026-02-10 vy</w:t>
            </w:r>
            <w:r w:rsidR="000479B1">
              <w:t>kusioje Seniūnaičių sueigoje. 2026-02</w:t>
            </w:r>
            <w:r w:rsidR="00043A94">
              <w:t>-</w:t>
            </w:r>
            <w:r w:rsidR="000B194E">
              <w:t>18</w:t>
            </w:r>
            <w:r w:rsidR="000479B1">
              <w:t xml:space="preserve">  protokolo Nr. A17-</w:t>
            </w:r>
            <w:r w:rsidR="00E55291">
              <w:t>86</w:t>
            </w:r>
            <w:r w:rsidR="000479B1">
              <w:t>/26(3.1.16-SEN)</w:t>
            </w:r>
          </w:p>
          <w:p w14:paraId="31A7DFB7" w14:textId="77777777" w:rsidR="00AC0174" w:rsidRPr="00336118" w:rsidRDefault="00AC0174" w:rsidP="007D0F27">
            <w:pPr>
              <w:tabs>
                <w:tab w:val="left" w:pos="487"/>
              </w:tabs>
              <w:autoSpaceDE w:val="0"/>
              <w:autoSpaceDN w:val="0"/>
              <w:adjustRightInd w:val="0"/>
              <w:jc w:val="both"/>
              <w:rPr>
                <w:bCs/>
                <w:lang w:bidi="ta-IN"/>
              </w:rPr>
            </w:pPr>
          </w:p>
        </w:tc>
      </w:tr>
      <w:tr w:rsidR="00E04189" w:rsidRPr="004F61F6" w14:paraId="7E7719B8" w14:textId="77777777" w:rsidTr="00CB4718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DA4140" w14:textId="77777777" w:rsidR="00E04189" w:rsidRDefault="00E04189" w:rsidP="00672183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14:paraId="0B9054EA" w14:textId="77777777" w:rsidR="002E56DE" w:rsidRDefault="002E56DE" w:rsidP="00672183">
            <w:pPr>
              <w:rPr>
                <w:b/>
                <w:bCs/>
              </w:rPr>
            </w:pPr>
          </w:p>
          <w:p w14:paraId="3CFD8996" w14:textId="023C6E20" w:rsidR="002E56DE" w:rsidRPr="00336118" w:rsidRDefault="002E56DE" w:rsidP="00672183">
            <w:pPr>
              <w:rPr>
                <w:b/>
                <w:bCs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B13D3" w14:textId="54480614" w:rsidR="002E56DE" w:rsidRDefault="00E04189" w:rsidP="00CB4718">
            <w:r w:rsidRPr="00F2563A">
              <w:rPr>
                <w:b/>
                <w:lang w:val="pt-BR"/>
              </w:rPr>
              <w:t>Vilniaus miesto savivaldybės administracijos seniūnijų 202</w:t>
            </w:r>
            <w:r w:rsidR="00722B80" w:rsidRPr="00F2563A">
              <w:rPr>
                <w:b/>
                <w:lang w:val="pt-BR"/>
              </w:rPr>
              <w:t>6</w:t>
            </w:r>
            <w:r w:rsidRPr="00F2563A">
              <w:rPr>
                <w:b/>
                <w:lang w:val="pt-BR"/>
              </w:rPr>
              <w:t xml:space="preserve"> m. veiklos rodikli</w:t>
            </w:r>
            <w:r>
              <w:rPr>
                <w:b/>
              </w:rPr>
              <w:t>ų suvestinė</w:t>
            </w:r>
          </w:p>
          <w:p w14:paraId="65941F06" w14:textId="574E7E0F" w:rsidR="002E56DE" w:rsidRPr="00336118" w:rsidRDefault="002E56DE" w:rsidP="00CB4718">
            <w:pPr>
              <w:pStyle w:val="Betarp"/>
              <w:rPr>
                <w:b/>
                <w:bCs/>
              </w:rPr>
            </w:pPr>
          </w:p>
        </w:tc>
      </w:tr>
      <w:tr w:rsidR="002E56DE" w:rsidRPr="004F61F6" w14:paraId="789FC5AD" w14:textId="77777777" w:rsidTr="00CB4718">
        <w:trPr>
          <w:trHeight w:val="53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7CCF5" w14:textId="77777777" w:rsidR="002E56DE" w:rsidRDefault="00CB4718" w:rsidP="0067218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4.1.</w:t>
            </w:r>
          </w:p>
          <w:p w14:paraId="0859C71A" w14:textId="77777777" w:rsidR="00CB4718" w:rsidRPr="00CB4718" w:rsidRDefault="00CB4718" w:rsidP="00CB4718">
            <w:pPr>
              <w:rPr>
                <w:lang w:val="en-US"/>
              </w:rPr>
            </w:pPr>
          </w:p>
          <w:p w14:paraId="350793BA" w14:textId="77777777" w:rsidR="00CB4718" w:rsidRPr="00CB4718" w:rsidRDefault="00CB4718" w:rsidP="00CB4718">
            <w:pPr>
              <w:rPr>
                <w:lang w:val="en-US"/>
              </w:rPr>
            </w:pPr>
          </w:p>
          <w:p w14:paraId="6C27AA31" w14:textId="77777777" w:rsidR="00CB4718" w:rsidRPr="00CB4718" w:rsidRDefault="00CB4718" w:rsidP="00CB4718">
            <w:pPr>
              <w:rPr>
                <w:lang w:val="en-US"/>
              </w:rPr>
            </w:pPr>
          </w:p>
          <w:p w14:paraId="00106B26" w14:textId="77777777" w:rsidR="00CB4718" w:rsidRPr="00CB4718" w:rsidRDefault="00CB4718" w:rsidP="00CB4718">
            <w:pPr>
              <w:rPr>
                <w:lang w:val="en-US"/>
              </w:rPr>
            </w:pPr>
          </w:p>
          <w:p w14:paraId="2CD26DE4" w14:textId="77777777" w:rsidR="00CB4718" w:rsidRPr="00CB4718" w:rsidRDefault="00CB4718" w:rsidP="00CB4718">
            <w:pPr>
              <w:rPr>
                <w:lang w:val="en-US"/>
              </w:rPr>
            </w:pPr>
          </w:p>
          <w:p w14:paraId="52FA6475" w14:textId="77777777" w:rsidR="00CB4718" w:rsidRPr="00CB4718" w:rsidRDefault="00CB4718" w:rsidP="00CB4718">
            <w:pPr>
              <w:rPr>
                <w:lang w:val="en-US"/>
              </w:rPr>
            </w:pPr>
          </w:p>
          <w:p w14:paraId="19BF75BE" w14:textId="77777777" w:rsidR="00CB4718" w:rsidRPr="00CB4718" w:rsidRDefault="00CB4718" w:rsidP="00CB4718">
            <w:pPr>
              <w:rPr>
                <w:lang w:val="en-US"/>
              </w:rPr>
            </w:pPr>
          </w:p>
          <w:p w14:paraId="7264CCC1" w14:textId="77777777" w:rsidR="00CB4718" w:rsidRPr="00CB4718" w:rsidRDefault="00CB4718" w:rsidP="00CB4718">
            <w:pPr>
              <w:rPr>
                <w:lang w:val="en-US"/>
              </w:rPr>
            </w:pPr>
          </w:p>
          <w:p w14:paraId="203EB2A5" w14:textId="77777777" w:rsidR="00CB4718" w:rsidRPr="00CB4718" w:rsidRDefault="00CB4718" w:rsidP="00CB4718">
            <w:pPr>
              <w:rPr>
                <w:lang w:val="en-US"/>
              </w:rPr>
            </w:pPr>
          </w:p>
          <w:p w14:paraId="6E8A1569" w14:textId="77777777" w:rsidR="00CB4718" w:rsidRPr="00CB4718" w:rsidRDefault="00CB4718" w:rsidP="00CB4718">
            <w:pPr>
              <w:rPr>
                <w:lang w:val="en-US"/>
              </w:rPr>
            </w:pPr>
          </w:p>
          <w:p w14:paraId="1EAE990C" w14:textId="77777777" w:rsidR="00CB4718" w:rsidRPr="00CB4718" w:rsidRDefault="00CB4718" w:rsidP="00CB4718">
            <w:pPr>
              <w:rPr>
                <w:lang w:val="en-US"/>
              </w:rPr>
            </w:pPr>
          </w:p>
          <w:p w14:paraId="3AC94DC0" w14:textId="77777777" w:rsidR="00CB4718" w:rsidRPr="00CB4718" w:rsidRDefault="00CB4718" w:rsidP="00CB4718">
            <w:pPr>
              <w:rPr>
                <w:lang w:val="en-US"/>
              </w:rPr>
            </w:pPr>
          </w:p>
          <w:p w14:paraId="613579D8" w14:textId="77777777" w:rsidR="00CB4718" w:rsidRDefault="00CB4718" w:rsidP="00CB4718">
            <w:pPr>
              <w:rPr>
                <w:b/>
                <w:bCs/>
                <w:lang w:val="en-US"/>
              </w:rPr>
            </w:pPr>
          </w:p>
          <w:p w14:paraId="7C570F70" w14:textId="5C6B1C6F" w:rsidR="00CB4718" w:rsidRPr="00CB4718" w:rsidRDefault="00CB4718" w:rsidP="00CB4718">
            <w:pPr>
              <w:rPr>
                <w:lang w:val="en-US"/>
              </w:rPr>
            </w:pPr>
          </w:p>
        </w:tc>
        <w:tc>
          <w:tcPr>
            <w:tcW w:w="8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A4A61" w14:textId="77777777" w:rsidR="002E56DE" w:rsidRPr="00F2563A" w:rsidRDefault="002E56DE" w:rsidP="002E56DE">
            <w:pPr>
              <w:jc w:val="both"/>
              <w:rPr>
                <w:b/>
                <w:lang w:val="pt-BR"/>
              </w:rPr>
            </w:pPr>
            <w:r w:rsidRPr="00F2563A">
              <w:rPr>
                <w:b/>
                <w:lang w:val="pt-BR"/>
              </w:rPr>
              <w:t>Pagrindiniai rodikliai</w:t>
            </w:r>
          </w:p>
          <w:p w14:paraId="296443A8" w14:textId="77777777" w:rsidR="002E56DE" w:rsidRPr="00F2563A" w:rsidRDefault="002E56DE" w:rsidP="002E56DE">
            <w:pPr>
              <w:jc w:val="both"/>
              <w:rPr>
                <w:bCs/>
                <w:lang w:val="pt-BR"/>
              </w:rPr>
            </w:pPr>
          </w:p>
          <w:p w14:paraId="06844466" w14:textId="77777777" w:rsidR="002E56DE" w:rsidRDefault="002E56DE" w:rsidP="002E56DE">
            <w:pPr>
              <w:jc w:val="both"/>
              <w:rPr>
                <w:bCs/>
              </w:rPr>
            </w:pPr>
            <w:r w:rsidRPr="00F2563A">
              <w:rPr>
                <w:bCs/>
                <w:lang w:val="pt-BR"/>
              </w:rPr>
              <w:t xml:space="preserve">04 programa </w:t>
            </w:r>
            <w:r>
              <w:rPr>
                <w:bCs/>
              </w:rPr>
              <w:t>„Kultūra“</w:t>
            </w:r>
          </w:p>
          <w:p w14:paraId="1B40B1A8" w14:textId="77777777" w:rsidR="002E56DE" w:rsidRDefault="002E56DE" w:rsidP="002E56DE">
            <w:pPr>
              <w:jc w:val="both"/>
              <w:rPr>
                <w:bCs/>
              </w:rPr>
            </w:pPr>
            <w:r>
              <w:rPr>
                <w:bCs/>
              </w:rPr>
              <w:t>Programos tikslas – įtrauki ir prieinama aukštos vertės kultūra visiems vilniečiams ir miesto svečiams.</w:t>
            </w:r>
          </w:p>
          <w:p w14:paraId="1BEC4124" w14:textId="77777777" w:rsidR="002E56DE" w:rsidRDefault="002E56DE" w:rsidP="002E56DE">
            <w:pPr>
              <w:jc w:val="both"/>
              <w:rPr>
                <w:bCs/>
              </w:rPr>
            </w:pPr>
            <w:r>
              <w:rPr>
                <w:bCs/>
              </w:rPr>
              <w:t>Programos uždavinys – įvairi ir kokybiška kultūra prieinama visoms visuomenės grupėms ir miesto svečiams.</w:t>
            </w:r>
          </w:p>
          <w:p w14:paraId="518BC404" w14:textId="77777777" w:rsidR="002E56DE" w:rsidRPr="00F2563A" w:rsidRDefault="002E56DE" w:rsidP="002E56DE">
            <w:pPr>
              <w:jc w:val="both"/>
              <w:rPr>
                <w:bCs/>
              </w:rPr>
            </w:pPr>
            <w:r>
              <w:rPr>
                <w:b/>
              </w:rPr>
              <w:t>Rezultato rodiklis</w:t>
            </w:r>
            <w:r>
              <w:rPr>
                <w:bCs/>
              </w:rPr>
              <w:t xml:space="preserve"> – renginių skaičius, </w:t>
            </w:r>
            <w:r>
              <w:rPr>
                <w:b/>
              </w:rPr>
              <w:t>rodiklio reikšmė</w:t>
            </w:r>
            <w:r>
              <w:rPr>
                <w:bCs/>
              </w:rPr>
              <w:t xml:space="preserve"> – </w:t>
            </w:r>
            <w:r w:rsidRPr="00F2563A">
              <w:rPr>
                <w:bCs/>
              </w:rPr>
              <w:t>2 vnt.</w:t>
            </w:r>
          </w:p>
          <w:p w14:paraId="79EBA14B" w14:textId="77777777" w:rsidR="002E56DE" w:rsidRPr="00F2563A" w:rsidRDefault="002E56DE" w:rsidP="002E56DE">
            <w:pPr>
              <w:jc w:val="both"/>
              <w:rPr>
                <w:bCs/>
              </w:rPr>
            </w:pPr>
          </w:p>
          <w:p w14:paraId="5F97C443" w14:textId="77777777" w:rsidR="002E56DE" w:rsidRDefault="002E56DE" w:rsidP="002E56DE">
            <w:pPr>
              <w:jc w:val="both"/>
              <w:rPr>
                <w:bCs/>
              </w:rPr>
            </w:pPr>
            <w:r w:rsidRPr="00F2563A">
              <w:rPr>
                <w:bCs/>
                <w:lang w:val="pt-BR"/>
              </w:rPr>
              <w:t xml:space="preserve">07 programa </w:t>
            </w:r>
            <w:r>
              <w:rPr>
                <w:bCs/>
              </w:rPr>
              <w:t>„Aplinka ir miesto plėtra“</w:t>
            </w:r>
          </w:p>
          <w:p w14:paraId="5C512EA8" w14:textId="77777777" w:rsidR="002E56DE" w:rsidRDefault="002E56DE" w:rsidP="002E56DE">
            <w:pPr>
              <w:jc w:val="both"/>
              <w:rPr>
                <w:bCs/>
              </w:rPr>
            </w:pPr>
            <w:r>
              <w:rPr>
                <w:bCs/>
              </w:rPr>
              <w:t>Programos tikslas – gyvenimo kokybė nepriklausomai nuo rajono</w:t>
            </w:r>
            <w:r>
              <w:t>.</w:t>
            </w:r>
          </w:p>
          <w:p w14:paraId="3177C796" w14:textId="77777777" w:rsidR="002E56DE" w:rsidRDefault="002E56DE" w:rsidP="002E56DE">
            <w:pPr>
              <w:jc w:val="both"/>
              <w:rPr>
                <w:bCs/>
              </w:rPr>
            </w:pPr>
            <w:r>
              <w:rPr>
                <w:bCs/>
              </w:rPr>
              <w:t>Programos uždavinys – gyvenamieji rajonai – daugiafunkcė ir įdomi gyventi aplinka.</w:t>
            </w:r>
          </w:p>
          <w:p w14:paraId="5B309630" w14:textId="77777777" w:rsidR="002E56DE" w:rsidRDefault="002E56DE" w:rsidP="002E56DE">
            <w:pPr>
              <w:jc w:val="both"/>
            </w:pPr>
            <w:r>
              <w:rPr>
                <w:b/>
              </w:rPr>
              <w:t>Rezultato rodiklis</w:t>
            </w:r>
            <w:r>
              <w:rPr>
                <w:bCs/>
              </w:rPr>
              <w:t xml:space="preserve"> – </w:t>
            </w:r>
            <w:r w:rsidRPr="00FB06D3">
              <w:t xml:space="preserve">gyventojų </w:t>
            </w:r>
            <w:r>
              <w:t xml:space="preserve">pasitenkinimo gyvenamąja aplinka lygis, </w:t>
            </w:r>
            <w:r w:rsidRPr="00CA705C">
              <w:t xml:space="preserve">proc., </w:t>
            </w:r>
            <w:r w:rsidRPr="00CA705C">
              <w:rPr>
                <w:b/>
                <w:bCs/>
              </w:rPr>
              <w:t>rodiklio reikšmė</w:t>
            </w:r>
            <w:r w:rsidRPr="00CA705C">
              <w:t xml:space="preserve"> – 81</w:t>
            </w:r>
            <w:r w:rsidRPr="00FB06D3">
              <w:t xml:space="preserve"> proc.</w:t>
            </w:r>
            <w:r>
              <w:t xml:space="preserve"> </w:t>
            </w:r>
            <w:r w:rsidRPr="00FB06D3">
              <w:t>(respondentų skaičius ne mažesnis nei 100 seniūnijos gyventojų)</w:t>
            </w:r>
            <w:r>
              <w:t>.</w:t>
            </w:r>
          </w:p>
          <w:p w14:paraId="32F83F43" w14:textId="77777777" w:rsidR="002E56DE" w:rsidRDefault="002E56DE" w:rsidP="00672183">
            <w:pPr>
              <w:rPr>
                <w:b/>
                <w:lang w:val="en-US"/>
              </w:rPr>
            </w:pPr>
          </w:p>
        </w:tc>
      </w:tr>
      <w:tr w:rsidR="002E56DE" w:rsidRPr="004F61F6" w14:paraId="4D6C88DE" w14:textId="77777777" w:rsidTr="00CB4718">
        <w:trPr>
          <w:trHeight w:val="5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B30" w14:textId="265C6179" w:rsidR="002E56DE" w:rsidRDefault="00CB4718" w:rsidP="00672183">
            <w:pPr>
              <w:rPr>
                <w:b/>
                <w:bCs/>
              </w:rPr>
            </w:pPr>
            <w:r>
              <w:rPr>
                <w:b/>
                <w:bCs/>
              </w:rPr>
              <w:t>4.2.</w:t>
            </w:r>
          </w:p>
        </w:tc>
        <w:tc>
          <w:tcPr>
            <w:tcW w:w="8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D6D8" w14:textId="77777777" w:rsidR="00CB4718" w:rsidRPr="00F2563A" w:rsidRDefault="00CB4718" w:rsidP="00CB4718">
            <w:pPr>
              <w:jc w:val="both"/>
              <w:rPr>
                <w:b/>
                <w:lang w:val="pt-BR"/>
              </w:rPr>
            </w:pPr>
            <w:r w:rsidRPr="00F2563A">
              <w:rPr>
                <w:b/>
                <w:lang w:val="pt-BR"/>
              </w:rPr>
              <w:t>Papildomi rodikliai</w:t>
            </w:r>
          </w:p>
          <w:p w14:paraId="4DD0EE24" w14:textId="77777777" w:rsidR="00CB4718" w:rsidRPr="00F2563A" w:rsidRDefault="00CB4718" w:rsidP="00CB4718">
            <w:pPr>
              <w:jc w:val="both"/>
              <w:rPr>
                <w:bCs/>
                <w:lang w:val="pt-BR"/>
              </w:rPr>
            </w:pPr>
          </w:p>
          <w:p w14:paraId="634CB477" w14:textId="77777777" w:rsidR="00CB4718" w:rsidRDefault="00CB4718" w:rsidP="00CB4718">
            <w:pPr>
              <w:pStyle w:val="Betarp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Kokybiška informacijos sklaida.</w:t>
            </w:r>
          </w:p>
          <w:p w14:paraId="10B42DD2" w14:textId="77777777" w:rsidR="00CB4718" w:rsidRDefault="00CB4718" w:rsidP="00CB4718">
            <w:pPr>
              <w:pStyle w:val="Betarp"/>
            </w:pPr>
            <w:r>
              <w:rPr>
                <w:rFonts w:cs="Times New Roman"/>
                <w:b/>
                <w:color w:val="000000"/>
                <w:szCs w:val="24"/>
              </w:rPr>
              <w:t>Rezultato rodiklis</w:t>
            </w:r>
            <w:r>
              <w:rPr>
                <w:rFonts w:cs="Times New Roman"/>
                <w:bCs/>
                <w:color w:val="000000"/>
                <w:szCs w:val="24"/>
              </w:rPr>
              <w:t xml:space="preserve"> – u</w:t>
            </w:r>
            <w:r>
              <w:rPr>
                <w:rFonts w:cs="Times New Roman"/>
                <w:szCs w:val="24"/>
              </w:rPr>
              <w:t xml:space="preserve">žtikrinti kokybišką seniūnijos informacijos sklaidą įvairiais kanalais (socialiniai tinklai, skelbimų lentos ir kt.), užtikrinant savalaikį ir aiškų turinį bei didinant gyventojų informuotumą apie seniūnijos veiklą. </w:t>
            </w:r>
            <w:r w:rsidRPr="00F031CF">
              <w:t xml:space="preserve"> </w:t>
            </w:r>
          </w:p>
          <w:p w14:paraId="6B4E9D0A" w14:textId="77777777" w:rsidR="00CB4718" w:rsidRDefault="00CB4718" w:rsidP="00CB471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b/>
                <w:bCs/>
              </w:rPr>
              <w:lastRenderedPageBreak/>
              <w:t>Rodiklio reikšmė</w:t>
            </w:r>
            <w:r>
              <w:t xml:space="preserve"> – n</w:t>
            </w:r>
            <w:r>
              <w:rPr>
                <w:rFonts w:cs="Times New Roman"/>
                <w:color w:val="000000"/>
                <w:szCs w:val="24"/>
              </w:rPr>
              <w:t>uolatinio pranešimų dažnio palaikymas seniūnijos socialinio tinklo „Facebook“ paskyroje (</w:t>
            </w:r>
            <w:r w:rsidRPr="00CA705C">
              <w:rPr>
                <w:rFonts w:cs="Times New Roman"/>
                <w:color w:val="000000"/>
                <w:szCs w:val="24"/>
              </w:rPr>
              <w:t>ne mažiau</w:t>
            </w:r>
            <w:r>
              <w:rPr>
                <w:rFonts w:cs="Times New Roman"/>
                <w:color w:val="000000"/>
                <w:szCs w:val="24"/>
              </w:rPr>
              <w:t xml:space="preserve"> kaip </w:t>
            </w:r>
            <w:r w:rsidRPr="00CA705C">
              <w:rPr>
                <w:rFonts w:cs="Times New Roman"/>
                <w:color w:val="000000"/>
                <w:szCs w:val="24"/>
              </w:rPr>
              <w:t>3–4 seniūnijos parengti autentiški pranešimai per mėnesį apie seniūnijos veiklą, iniciatyvas, bendruomenei aktualias naujienas, infrastruktūros pokyčius ir kitas vietos gyvenimo aktualijas)</w:t>
            </w:r>
            <w:r>
              <w:rPr>
                <w:rFonts w:cs="Times New Roman"/>
                <w:color w:val="000000"/>
                <w:szCs w:val="24"/>
              </w:rPr>
              <w:t>;</w:t>
            </w:r>
            <w:r>
              <w:rPr>
                <w:rFonts w:cs="Times New Roman"/>
                <w:szCs w:val="24"/>
              </w:rPr>
              <w:t xml:space="preserve"> informacijos paskelbimo atitikimo terminams užtikrinimas</w:t>
            </w:r>
            <w:r>
              <w:rPr>
                <w:rFonts w:cs="Times New Roman"/>
                <w:color w:val="000000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pvz.: prieš sprendimų priėmimą, aktualius pokyčius, renginius ir kt.</w:t>
            </w:r>
            <w:r>
              <w:rPr>
                <w:rFonts w:cs="Times New Roman"/>
                <w:color w:val="000000"/>
                <w:szCs w:val="24"/>
              </w:rPr>
              <w:t>).</w:t>
            </w:r>
          </w:p>
          <w:p w14:paraId="41EB7AF9" w14:textId="77777777" w:rsidR="00CB4718" w:rsidRDefault="00CB4718" w:rsidP="00CB4718">
            <w:pPr>
              <w:pStyle w:val="Betarp"/>
              <w:rPr>
                <w:rFonts w:cs="Times New Roman"/>
                <w:color w:val="000000"/>
                <w:szCs w:val="24"/>
              </w:rPr>
            </w:pPr>
          </w:p>
          <w:p w14:paraId="01D9837E" w14:textId="77777777" w:rsidR="00CB4718" w:rsidRDefault="00CB4718" w:rsidP="00CB47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Bendruomenių aktyvumo skatinimas, įtraukimas į sprendimų priėmimą.</w:t>
            </w:r>
          </w:p>
          <w:p w14:paraId="109634DF" w14:textId="77777777" w:rsidR="00CB4718" w:rsidRDefault="00CB4718" w:rsidP="00CB4718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CA705C">
              <w:rPr>
                <w:b/>
              </w:rPr>
              <w:t>Rezultato rodiklis</w:t>
            </w:r>
            <w:r w:rsidRPr="00CA705C">
              <w:rPr>
                <w:bCs/>
              </w:rPr>
              <w:t xml:space="preserve"> – b</w:t>
            </w:r>
            <w:r>
              <w:rPr>
                <w:rFonts w:cs="Times New Roman"/>
                <w:color w:val="000000"/>
                <w:szCs w:val="24"/>
              </w:rPr>
              <w:t>endruomenės įtraukimas ir dalyvavimas priimant sprendimus – konsultavimasis su vietos gyventojais, įsitraukimas į dalyvaujamojo biudžeto programos „Dalyvauk! Vilnius“ įgyvendinimą.</w:t>
            </w:r>
          </w:p>
          <w:p w14:paraId="6D76F60D" w14:textId="77777777" w:rsidR="00CB4718" w:rsidRPr="00FB06D3" w:rsidRDefault="00CB4718" w:rsidP="00CB4718">
            <w:pPr>
              <w:jc w:val="both"/>
            </w:pPr>
            <w:r>
              <w:rPr>
                <w:b/>
                <w:bCs/>
              </w:rPr>
              <w:t>Rodiklio reikšmė</w:t>
            </w:r>
            <w:r>
              <w:t xml:space="preserve"> – į</w:t>
            </w:r>
            <w:r w:rsidRPr="009A526B">
              <w:t xml:space="preserve">gyvendintos ne mažiau kaip </w:t>
            </w:r>
            <w:r w:rsidRPr="00CA705C">
              <w:t>2 informacijos sklaidos ir gyventoj</w:t>
            </w:r>
            <w:r w:rsidRPr="009A526B">
              <w:t>ų įsitraukimą į dalyvaujamojo biudžeto program</w:t>
            </w:r>
            <w:r>
              <w:t>ą</w:t>
            </w:r>
            <w:r w:rsidRPr="009A526B">
              <w:t xml:space="preserve"> skatinančios iniciatyvos</w:t>
            </w:r>
            <w:r>
              <w:t xml:space="preserve"> idėjų teikimo laikotarpiu ir </w:t>
            </w:r>
            <w:r w:rsidRPr="009A526B">
              <w:t xml:space="preserve">ne mažiau kaip </w:t>
            </w:r>
            <w:r w:rsidRPr="00CA705C">
              <w:t xml:space="preserve">3 iniciatyvos </w:t>
            </w:r>
            <w:r>
              <w:t xml:space="preserve">gyventojų balsavimo laikotarpiu, </w:t>
            </w:r>
            <w:r w:rsidRPr="009A526B">
              <w:t xml:space="preserve"> (pvz.</w:t>
            </w:r>
            <w:r>
              <w:t>:</w:t>
            </w:r>
            <w:r w:rsidRPr="009A526B">
              <w:t xml:space="preserve"> kūrybinės dirbtuvės, diskusija, renginys, partnerystė su vietos bendruomene,</w:t>
            </w:r>
            <w:r>
              <w:t xml:space="preserve"> autentiška</w:t>
            </w:r>
            <w:r w:rsidRPr="009A526B">
              <w:t xml:space="preserve"> </w:t>
            </w:r>
            <w:r>
              <w:t xml:space="preserve">seniūnijos </w:t>
            </w:r>
            <w:r w:rsidRPr="009A526B">
              <w:t>komunikacija socialiniame tinkle ar kt.).</w:t>
            </w:r>
            <w:r>
              <w:t xml:space="preserve"> </w:t>
            </w:r>
            <w:r>
              <w:rPr>
                <w:color w:val="000000"/>
              </w:rPr>
              <w:t>Gyventojų apklausų, viešų konsultacijų organizavimas gyvenamosios aplinkos gerinimo, iniciatyvų klausimais.</w:t>
            </w:r>
          </w:p>
          <w:p w14:paraId="07CA338F" w14:textId="77777777" w:rsidR="00CB4718" w:rsidRDefault="00CB4718" w:rsidP="00CB4718">
            <w:pPr>
              <w:pStyle w:val="Betarp"/>
              <w:rPr>
                <w:szCs w:val="24"/>
              </w:rPr>
            </w:pPr>
          </w:p>
          <w:p w14:paraId="7328988A" w14:textId="77777777" w:rsidR="00CB4718" w:rsidRDefault="00CB4718" w:rsidP="00CB47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Kokybiškų administracinių paslaugų teikimas gyventojams.</w:t>
            </w:r>
          </w:p>
          <w:p w14:paraId="7770CAAF" w14:textId="77777777" w:rsidR="00CB4718" w:rsidRDefault="00CB4718" w:rsidP="00CB4718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Rezultato rodikliai</w:t>
            </w:r>
            <w:r>
              <w:rPr>
                <w:color w:val="000000"/>
              </w:rPr>
              <w:t xml:space="preserve"> – elektroniniu būdu užsakytų paslaugų dalis nuo viso pateiktų paslaugų sąrašo proc.; paslaugų suteikimas (įvykdymas) laiku proc., dokumentų nagrinėjimo ir paslaugų suteikimo (įvykdymo) trukmė greitesnė nei numatyta teisės aktuose.</w:t>
            </w:r>
          </w:p>
          <w:p w14:paraId="3D1C92C9" w14:textId="77777777" w:rsidR="00CB4718" w:rsidRDefault="00CB4718" w:rsidP="00CB4718">
            <w:pPr>
              <w:pStyle w:val="Betarp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Rodiklių reikšmės</w:t>
            </w:r>
            <w:r>
              <w:rPr>
                <w:color w:val="000000"/>
              </w:rPr>
              <w:t xml:space="preserve"> – gyventojų informavimas apie galimybę užsisakyti paslaugas elektroniniu būdu, el. paslaugų naudojimo rodiklio didėjimas ne mažiau kaip </w:t>
            </w:r>
            <w:r w:rsidRPr="00CA705C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proc. lyginant su praėjusiais metais; l</w:t>
            </w:r>
            <w:r>
              <w:rPr>
                <w:rFonts w:cs="Times New Roman"/>
                <w:color w:val="000000"/>
                <w:szCs w:val="24"/>
              </w:rPr>
              <w:t xml:space="preserve">aiku suteikta paslaugų (įvykdyta užduočių) – 100 proc.; </w:t>
            </w:r>
            <w:r>
              <w:rPr>
                <w:color w:val="000000"/>
              </w:rPr>
              <w:t xml:space="preserve">dokumentų nagrinėjimo ir paslaugų suteikimo terminų trumpinimas – ne mažiau kaip </w:t>
            </w:r>
            <w:r w:rsidRPr="00CA705C">
              <w:rPr>
                <w:color w:val="000000"/>
              </w:rPr>
              <w:t>90</w:t>
            </w:r>
            <w:r>
              <w:rPr>
                <w:color w:val="000000"/>
              </w:rPr>
              <w:t xml:space="preserve"> proc. paslaugų suteikiama greičiau nei teisės aktuose numatyti terminai.</w:t>
            </w:r>
          </w:p>
          <w:p w14:paraId="0C380290" w14:textId="77777777" w:rsidR="00CB4718" w:rsidRDefault="00CB4718" w:rsidP="00CB4718">
            <w:pPr>
              <w:pStyle w:val="Betarp"/>
              <w:rPr>
                <w:color w:val="000000"/>
              </w:rPr>
            </w:pPr>
          </w:p>
          <w:p w14:paraId="5BC7041C" w14:textId="77777777" w:rsidR="00CB4718" w:rsidRDefault="00CB4718" w:rsidP="00CB47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Kokybiškų viešųjų paslaugų teikimas gyventojams.</w:t>
            </w:r>
          </w:p>
          <w:p w14:paraId="7CF5900B" w14:textId="77777777" w:rsidR="00CB4718" w:rsidRDefault="00CB4718" w:rsidP="00CB4718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Rezultato rodikliai</w:t>
            </w:r>
            <w:r>
              <w:rPr>
                <w:color w:val="000000"/>
              </w:rPr>
              <w:t xml:space="preserve"> – lėšų, skirtų 202</w:t>
            </w:r>
            <w:r w:rsidRPr="00CA705C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m. programoms „Aplinka ir miesto plėtra“, „Kultūra“ darbams, efektyvus panaudojimas; Užimtumo didinimo programos įgyvendinimas, lėšų efektyvus panaudojimas.</w:t>
            </w:r>
          </w:p>
          <w:p w14:paraId="73A3E915" w14:textId="77777777" w:rsidR="00CB4718" w:rsidRPr="002E56DE" w:rsidRDefault="00CB4718" w:rsidP="00CB471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Rodiklių reikšmės</w:t>
            </w:r>
            <w:r>
              <w:rPr>
                <w:color w:val="000000"/>
              </w:rPr>
              <w:t xml:space="preserve"> – </w:t>
            </w:r>
            <w:r>
              <w:rPr>
                <w:rFonts w:cs="Times New Roman"/>
                <w:color w:val="000000"/>
                <w:szCs w:val="24"/>
              </w:rPr>
              <w:t>100 proc. suplanuotų lėšų 202</w:t>
            </w:r>
            <w:r w:rsidRPr="00CA705C">
              <w:rPr>
                <w:rFonts w:cs="Times New Roman"/>
                <w:color w:val="000000"/>
                <w:szCs w:val="24"/>
              </w:rPr>
              <w:t>6</w:t>
            </w:r>
            <w:r>
              <w:rPr>
                <w:rFonts w:cs="Times New Roman"/>
                <w:color w:val="000000"/>
                <w:szCs w:val="24"/>
              </w:rPr>
              <w:t xml:space="preserve"> m. programoms „Aplinka ir miesto plėtra“, „Kultūra“ darbams tikslinis panaudojimas; </w:t>
            </w:r>
            <w:r>
              <w:rPr>
                <w:color w:val="000000"/>
              </w:rPr>
              <w:t xml:space="preserve">tikslinis Užimtumo didinimo programos lėšų panaudojimas (ne mažiau kaip </w:t>
            </w:r>
            <w:r w:rsidRPr="00CA705C">
              <w:rPr>
                <w:color w:val="000000"/>
              </w:rPr>
              <w:t>80 proc. skirto finansavimo)</w:t>
            </w:r>
            <w:r>
              <w:rPr>
                <w:color w:val="000000"/>
              </w:rPr>
              <w:t>.</w:t>
            </w:r>
          </w:p>
          <w:p w14:paraId="08A56DA8" w14:textId="77777777" w:rsidR="002E56DE" w:rsidRPr="00CA705C" w:rsidRDefault="002E56DE" w:rsidP="00672183">
            <w:pPr>
              <w:rPr>
                <w:b/>
              </w:rPr>
            </w:pPr>
          </w:p>
        </w:tc>
      </w:tr>
    </w:tbl>
    <w:p w14:paraId="070F455C" w14:textId="77777777" w:rsidR="00C44B06" w:rsidRDefault="00C44B06" w:rsidP="00672183">
      <w:pPr>
        <w:jc w:val="center"/>
        <w:rPr>
          <w:b/>
        </w:rPr>
      </w:pPr>
    </w:p>
    <w:p w14:paraId="6FE49B62" w14:textId="77777777" w:rsidR="00672183" w:rsidRPr="008F203E" w:rsidRDefault="00672183" w:rsidP="00672183">
      <w:pPr>
        <w:jc w:val="center"/>
        <w:rPr>
          <w:b/>
        </w:rPr>
      </w:pPr>
      <w:r w:rsidRPr="008F203E">
        <w:rPr>
          <w:b/>
        </w:rPr>
        <w:t xml:space="preserve">Metinio veiklos plano priedai </w:t>
      </w:r>
    </w:p>
    <w:p w14:paraId="3029EAF3" w14:textId="77777777" w:rsidR="00672183" w:rsidRPr="004F61F6" w:rsidRDefault="00672183" w:rsidP="00672183"/>
    <w:p w14:paraId="532738EE" w14:textId="77777777" w:rsidR="00672183" w:rsidRPr="00AC0174" w:rsidRDefault="00AF6B43" w:rsidP="00AC0174">
      <w:pPr>
        <w:tabs>
          <w:tab w:val="left" w:pos="2700"/>
        </w:tabs>
      </w:pPr>
      <w:r>
        <w:rPr>
          <w:bCs/>
        </w:rPr>
        <w:t>L</w:t>
      </w:r>
      <w:r w:rsidR="00672183" w:rsidRPr="00770C8E">
        <w:rPr>
          <w:bCs/>
        </w:rPr>
        <w:t>entelė.</w:t>
      </w:r>
      <w:r w:rsidR="00672183" w:rsidRPr="004F61F6">
        <w:t xml:space="preserve"> </w:t>
      </w:r>
      <w:r w:rsidR="00770C8E">
        <w:t>Tikslų, uždavinių, priemonių išlaidų ir kriterijų suvestinė.</w:t>
      </w:r>
    </w:p>
    <w:p w14:paraId="22BFD555" w14:textId="77777777" w:rsidR="00672183" w:rsidRDefault="00672183" w:rsidP="00672183"/>
    <w:p w14:paraId="3467F3AC" w14:textId="614AA80A" w:rsidR="00AF6B43" w:rsidRDefault="00AF6B43" w:rsidP="00211782"/>
    <w:p w14:paraId="7CB7D527" w14:textId="77777777" w:rsidR="00211782" w:rsidRDefault="00211782" w:rsidP="00211782"/>
    <w:p w14:paraId="4DEB140D" w14:textId="77777777" w:rsidR="00211782" w:rsidRDefault="00211782" w:rsidP="00211782"/>
    <w:p w14:paraId="4B8B3A2E" w14:textId="77777777" w:rsidR="00211782" w:rsidRDefault="00211782" w:rsidP="00211782"/>
    <w:p w14:paraId="3F066A02" w14:textId="77777777" w:rsidR="00211782" w:rsidRDefault="00211782" w:rsidP="00211782"/>
    <w:p w14:paraId="30403B34" w14:textId="77777777" w:rsidR="00211782" w:rsidRDefault="00211782" w:rsidP="00211782"/>
    <w:p w14:paraId="36F6D853" w14:textId="77777777" w:rsidR="00211782" w:rsidRDefault="00211782" w:rsidP="00211782"/>
    <w:p w14:paraId="3D52AF0E" w14:textId="77777777" w:rsidR="00211782" w:rsidRDefault="00211782" w:rsidP="00211782"/>
    <w:p w14:paraId="695DEA21" w14:textId="77777777" w:rsidR="00211782" w:rsidRDefault="00211782" w:rsidP="00211782"/>
    <w:p w14:paraId="727907B3" w14:textId="77777777" w:rsidR="00211782" w:rsidRDefault="00211782" w:rsidP="00211782">
      <w:pPr>
        <w:sectPr w:rsidR="00211782" w:rsidSect="00211782">
          <w:headerReference w:type="default" r:id="rId11"/>
          <w:pgSz w:w="11906" w:h="16838"/>
          <w:pgMar w:top="1135" w:right="707" w:bottom="567" w:left="1701" w:header="567" w:footer="567" w:gutter="0"/>
          <w:cols w:space="1296"/>
          <w:titlePg/>
          <w:docGrid w:linePitch="360"/>
        </w:sectPr>
      </w:pPr>
    </w:p>
    <w:tbl>
      <w:tblPr>
        <w:tblpPr w:leftFromText="180" w:rightFromText="180" w:horzAnchor="page" w:tblpX="568" w:tblpY="-756"/>
        <w:tblW w:w="15967" w:type="dxa"/>
        <w:tblLook w:val="04A0" w:firstRow="1" w:lastRow="0" w:firstColumn="1" w:lastColumn="0" w:noHBand="0" w:noVBand="1"/>
      </w:tblPr>
      <w:tblGrid>
        <w:gridCol w:w="1325"/>
        <w:gridCol w:w="951"/>
        <w:gridCol w:w="1558"/>
        <w:gridCol w:w="3096"/>
        <w:gridCol w:w="1584"/>
        <w:gridCol w:w="500"/>
        <w:gridCol w:w="1571"/>
        <w:gridCol w:w="3418"/>
        <w:gridCol w:w="676"/>
        <w:gridCol w:w="1271"/>
        <w:gridCol w:w="17"/>
      </w:tblGrid>
      <w:tr w:rsidR="007A6814" w14:paraId="006F04E0" w14:textId="77777777" w:rsidTr="002F3434">
        <w:trPr>
          <w:gridAfter w:val="1"/>
          <w:wAfter w:w="17" w:type="dxa"/>
          <w:trHeight w:val="66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AE600" w14:textId="77777777" w:rsidR="007A6814" w:rsidRDefault="007A6814" w:rsidP="007A6814">
            <w:pPr>
              <w:tabs>
                <w:tab w:val="left" w:pos="746"/>
              </w:tabs>
              <w:ind w:right="260"/>
              <w:rPr>
                <w:sz w:val="20"/>
                <w:szCs w:val="20"/>
                <w:lang w:eastAsia="lt-LT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65DA6" w14:textId="77777777" w:rsidR="007A6814" w:rsidRDefault="007A6814" w:rsidP="007A681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3865D" w14:textId="77777777" w:rsidR="007A6814" w:rsidRDefault="007A6814" w:rsidP="007A6814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68E8D" w14:textId="77777777" w:rsidR="007A6814" w:rsidRDefault="007A6814" w:rsidP="007A6814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79F4D" w14:textId="77777777" w:rsidR="007A6814" w:rsidRDefault="007A6814" w:rsidP="007A6814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70BE9" w14:textId="77777777" w:rsidR="007A6814" w:rsidRDefault="007A6814" w:rsidP="007A6814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0D9AA" w14:textId="77777777" w:rsidR="007A6814" w:rsidRDefault="007A6814" w:rsidP="007A6814">
            <w:pPr>
              <w:rPr>
                <w:sz w:val="20"/>
                <w:szCs w:val="20"/>
              </w:rPr>
            </w:pPr>
          </w:p>
        </w:tc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6B1771" w14:textId="77777777" w:rsidR="007A6814" w:rsidRDefault="007A6814" w:rsidP="007A6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Vilniaus miesto savivaldybės </w:t>
            </w:r>
            <w:r>
              <w:rPr>
                <w:sz w:val="18"/>
                <w:szCs w:val="18"/>
              </w:rPr>
              <w:br/>
              <w:t>administracijos Naujamiesčio seniūnijos</w:t>
            </w:r>
            <w:r>
              <w:rPr>
                <w:sz w:val="18"/>
                <w:szCs w:val="18"/>
              </w:rPr>
              <w:br/>
              <w:t>2026 metų veiklos plano priedas</w:t>
            </w:r>
          </w:p>
        </w:tc>
      </w:tr>
      <w:tr w:rsidR="007A6814" w14:paraId="1FD3D029" w14:textId="77777777" w:rsidTr="002F3434">
        <w:trPr>
          <w:trHeight w:val="241"/>
        </w:trPr>
        <w:tc>
          <w:tcPr>
            <w:tcW w:w="15967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E1AA90B" w14:textId="77777777" w:rsidR="007A6814" w:rsidRDefault="007A6814" w:rsidP="007A6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TIKSLŲ, UŽDAVINIŲ, PRIEMONIŲ, PRIEMONIŲ IŠLAIDŲ IR KRITERIJŲ SUVESTINĖ</w:t>
            </w:r>
          </w:p>
        </w:tc>
      </w:tr>
      <w:tr w:rsidR="002F3434" w14:paraId="31048B57" w14:textId="77777777" w:rsidTr="002F3434">
        <w:trPr>
          <w:trHeight w:val="91"/>
        </w:trPr>
        <w:tc>
          <w:tcPr>
            <w:tcW w:w="159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45EB9A4" w14:textId="77777777" w:rsidR="002F3434" w:rsidRDefault="002F3434" w:rsidP="002F3434">
            <w:pPr>
              <w:rPr>
                <w:sz w:val="22"/>
                <w:szCs w:val="22"/>
              </w:rPr>
            </w:pPr>
          </w:p>
        </w:tc>
      </w:tr>
      <w:tr w:rsidR="007A6814" w14:paraId="0AB5E4E6" w14:textId="77777777" w:rsidTr="002F3434">
        <w:trPr>
          <w:gridAfter w:val="1"/>
          <w:wAfter w:w="17" w:type="dxa"/>
          <w:trHeight w:val="180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E56693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FVAS kodas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CD949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SVP kodas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48B516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Kategorija (tikslas, uždavinys, priemonė)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F897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Pavadinimas (tikslo, uždavinio, priemonės)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8C67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Vykdytojas (vardas, pavardė)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5F1332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Finansavimo šaltinio kodas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65D1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Lėšos biudžetiniams 2025 metams</w:t>
            </w:r>
          </w:p>
        </w:tc>
        <w:tc>
          <w:tcPr>
            <w:tcW w:w="5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D81E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Rodiklis</w:t>
            </w:r>
          </w:p>
        </w:tc>
      </w:tr>
      <w:tr w:rsidR="007A6814" w14:paraId="5A5333EA" w14:textId="77777777" w:rsidTr="002F3434">
        <w:trPr>
          <w:gridAfter w:val="1"/>
          <w:wAfter w:w="18" w:type="dxa"/>
          <w:trHeight w:val="470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F18A" w14:textId="77777777" w:rsidR="007A6814" w:rsidRPr="002F3434" w:rsidRDefault="007A6814" w:rsidP="007A6814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3EDB" w14:textId="77777777" w:rsidR="007A6814" w:rsidRPr="002F3434" w:rsidRDefault="007A6814" w:rsidP="007A6814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3DFC" w14:textId="77777777" w:rsidR="007A6814" w:rsidRPr="002F3434" w:rsidRDefault="007A6814" w:rsidP="007A6814">
            <w:pPr>
              <w:rPr>
                <w:sz w:val="18"/>
                <w:szCs w:val="18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D200" w14:textId="77777777" w:rsidR="007A6814" w:rsidRPr="002F3434" w:rsidRDefault="007A6814" w:rsidP="007A6814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21BE" w14:textId="77777777" w:rsidR="007A6814" w:rsidRPr="002F3434" w:rsidRDefault="007A6814" w:rsidP="007A6814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4466" w14:textId="77777777" w:rsidR="007A6814" w:rsidRPr="002F3434" w:rsidRDefault="007A6814" w:rsidP="007A6814">
            <w:pPr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D6BE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211F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Pavadinimas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91583E5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mato vnt.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71B5AB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Planuojama reikšmė</w:t>
            </w:r>
          </w:p>
        </w:tc>
      </w:tr>
      <w:tr w:rsidR="007A6814" w14:paraId="0164944E" w14:textId="77777777" w:rsidTr="002F3434">
        <w:trPr>
          <w:trHeight w:val="227"/>
        </w:trPr>
        <w:tc>
          <w:tcPr>
            <w:tcW w:w="159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4FB8D32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04 programa „Kultūra“</w:t>
            </w:r>
          </w:p>
        </w:tc>
      </w:tr>
      <w:tr w:rsidR="007A6814" w14:paraId="45A9B8F6" w14:textId="77777777" w:rsidTr="002F3434">
        <w:trPr>
          <w:gridAfter w:val="1"/>
          <w:wAfter w:w="18" w:type="dxa"/>
          <w:trHeight w:val="342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A1F59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156D9" w14:textId="77777777" w:rsidR="007A6814" w:rsidRPr="002F3434" w:rsidRDefault="007A6814" w:rsidP="007A6814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2F3434">
              <w:rPr>
                <w:b/>
                <w:bCs/>
                <w:color w:val="C00000"/>
                <w:sz w:val="18"/>
                <w:szCs w:val="18"/>
              </w:rPr>
              <w:t xml:space="preserve">4.1.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DAD0C" w14:textId="77777777" w:rsidR="007A6814" w:rsidRPr="002F3434" w:rsidRDefault="007A6814" w:rsidP="007A6814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2F3434">
              <w:rPr>
                <w:b/>
                <w:bCs/>
                <w:color w:val="C00000"/>
                <w:sz w:val="18"/>
                <w:szCs w:val="18"/>
              </w:rPr>
              <w:t>Tikslas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457DD" w14:textId="77777777" w:rsidR="007A6814" w:rsidRPr="002F3434" w:rsidRDefault="007A6814" w:rsidP="007A6814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2F3434">
              <w:rPr>
                <w:b/>
                <w:bCs/>
                <w:color w:val="C00000"/>
                <w:sz w:val="18"/>
                <w:szCs w:val="18"/>
              </w:rPr>
              <w:t xml:space="preserve"> Įtrauki ir prieinama aukštos vertės kultūra visiems vilniečiams ir miesto svečiams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B7D18" w14:textId="77777777" w:rsidR="007A6814" w:rsidRPr="002F3434" w:rsidRDefault="007A6814" w:rsidP="007A6814">
            <w:pPr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AEA51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C1525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3FF9D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1F557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DD322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A6814" w14:paraId="0E0791F7" w14:textId="77777777" w:rsidTr="002F3434">
        <w:trPr>
          <w:gridAfter w:val="1"/>
          <w:wAfter w:w="18" w:type="dxa"/>
          <w:trHeight w:val="342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987B7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842DC" w14:textId="77777777" w:rsidR="007A6814" w:rsidRPr="002F3434" w:rsidRDefault="007A6814" w:rsidP="007A6814">
            <w:pPr>
              <w:rPr>
                <w:b/>
                <w:bCs/>
                <w:color w:val="292929"/>
                <w:sz w:val="18"/>
                <w:szCs w:val="18"/>
              </w:rPr>
            </w:pPr>
            <w:r w:rsidRPr="002F3434">
              <w:rPr>
                <w:b/>
                <w:bCs/>
                <w:color w:val="292929"/>
                <w:sz w:val="18"/>
                <w:szCs w:val="18"/>
              </w:rPr>
              <w:t>4.1.1.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9C16C" w14:textId="77777777" w:rsidR="007A6814" w:rsidRPr="002F3434" w:rsidRDefault="007A6814" w:rsidP="007A6814">
            <w:pPr>
              <w:rPr>
                <w:b/>
                <w:bCs/>
                <w:color w:val="292929"/>
                <w:sz w:val="18"/>
                <w:szCs w:val="18"/>
              </w:rPr>
            </w:pPr>
            <w:r w:rsidRPr="002F3434">
              <w:rPr>
                <w:b/>
                <w:bCs/>
                <w:color w:val="292929"/>
                <w:sz w:val="18"/>
                <w:szCs w:val="18"/>
              </w:rPr>
              <w:t>UŽDAVINYS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E1B5D" w14:textId="77777777" w:rsidR="007A6814" w:rsidRPr="002F3434" w:rsidRDefault="007A6814" w:rsidP="007A6814">
            <w:pPr>
              <w:rPr>
                <w:b/>
                <w:bCs/>
                <w:color w:val="292929"/>
                <w:sz w:val="18"/>
                <w:szCs w:val="18"/>
              </w:rPr>
            </w:pPr>
            <w:r w:rsidRPr="002F3434">
              <w:rPr>
                <w:b/>
                <w:bCs/>
                <w:color w:val="292929"/>
                <w:sz w:val="18"/>
                <w:szCs w:val="18"/>
              </w:rPr>
              <w:t>Įvairi ir kokybiška kultūra prieinama visoms visuomenės grupėms ir miesto svečiams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C6B11" w14:textId="77777777" w:rsidR="007A6814" w:rsidRPr="002F3434" w:rsidRDefault="007A6814" w:rsidP="007A6814">
            <w:pPr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4526E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B04FA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ABB72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5C8F9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BDA03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A6814" w14:paraId="00FDAC64" w14:textId="77777777" w:rsidTr="002F3434">
        <w:trPr>
          <w:gridAfter w:val="1"/>
          <w:wAfter w:w="18" w:type="dxa"/>
          <w:trHeight w:val="18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7615C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EDBD8" w14:textId="77777777" w:rsidR="007A6814" w:rsidRPr="002F3434" w:rsidRDefault="007A6814" w:rsidP="007A6814">
            <w:pPr>
              <w:rPr>
                <w:color w:val="292929"/>
                <w:sz w:val="18"/>
                <w:szCs w:val="18"/>
              </w:rPr>
            </w:pPr>
            <w:r w:rsidRPr="002F3434">
              <w:rPr>
                <w:color w:val="292929"/>
                <w:sz w:val="18"/>
                <w:szCs w:val="18"/>
              </w:rPr>
              <w:t>4.1.1.4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9EA" w:fill="FFFFFF"/>
            <w:hideMark/>
          </w:tcPr>
          <w:p w14:paraId="71A4A3A4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PRIEMONĖ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9EA" w:fill="FFFFFF"/>
            <w:hideMark/>
          </w:tcPr>
          <w:p w14:paraId="5426B0EE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Aktyvinti miesto bendruomenių kultūrinę veiklą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E7918" w14:textId="77777777" w:rsidR="007A6814" w:rsidRPr="002F3434" w:rsidRDefault="007A6814" w:rsidP="007A6814">
            <w:pPr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8775F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82F7C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 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275D4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E7F6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586B5" w14:textId="77777777" w:rsidR="007A6814" w:rsidRPr="002F3434" w:rsidRDefault="007A6814" w:rsidP="007A6814">
            <w:pPr>
              <w:jc w:val="center"/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A6814" w14:paraId="6D6AC920" w14:textId="77777777" w:rsidTr="002F3434">
        <w:trPr>
          <w:gridAfter w:val="1"/>
          <w:wAfter w:w="18" w:type="dxa"/>
          <w:trHeight w:val="18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3B9E" w14:textId="77777777" w:rsidR="007A6814" w:rsidRPr="002F3434" w:rsidRDefault="007A6814" w:rsidP="007A6814">
            <w:pPr>
              <w:jc w:val="right"/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204090107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AD438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4.1.1.11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C5A0D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SVP priemonė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75D98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Naujamiesčio seniūnijos bendruomenės kultūrinės veiklos plėtra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E64E3" w14:textId="77777777" w:rsidR="007A6814" w:rsidRPr="002F3434" w:rsidRDefault="007A6814" w:rsidP="007A6814">
            <w:pPr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Mantas Mikšta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3C0B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95B32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4,0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C67E7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Renginių skaičius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E17B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vnt.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205A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1</w:t>
            </w:r>
          </w:p>
        </w:tc>
      </w:tr>
      <w:tr w:rsidR="007A6814" w14:paraId="4FD11319" w14:textId="77777777" w:rsidTr="002F3434">
        <w:trPr>
          <w:gridAfter w:val="1"/>
          <w:wAfter w:w="18" w:type="dxa"/>
          <w:trHeight w:val="18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B2C5D1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5BA53D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BDEE57B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169519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A62ABC3" w14:textId="77777777" w:rsidR="007A6814" w:rsidRPr="002F3434" w:rsidRDefault="007A6814" w:rsidP="007A6814">
            <w:pPr>
              <w:jc w:val="right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Iš viso tikslui: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6641CDA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9B395D5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4,0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8806E3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27D0BA1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233FF2B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A6814" w14:paraId="30BF408D" w14:textId="77777777" w:rsidTr="002F3434">
        <w:trPr>
          <w:gridAfter w:val="1"/>
          <w:wAfter w:w="18" w:type="dxa"/>
          <w:trHeight w:val="180"/>
        </w:trPr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974D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72A0F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5470E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3DA7A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F3434">
              <w:rPr>
                <w:color w:val="000000"/>
                <w:sz w:val="18"/>
                <w:szCs w:val="18"/>
              </w:rPr>
              <w:t>S.K.Čiurlionienės</w:t>
            </w:r>
            <w:proofErr w:type="spellEnd"/>
            <w:r w:rsidRPr="002F3434">
              <w:rPr>
                <w:color w:val="000000"/>
                <w:sz w:val="18"/>
                <w:szCs w:val="18"/>
              </w:rPr>
              <w:t xml:space="preserve"> skvero šventinis apšvietimas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12D80" w14:textId="77777777" w:rsidR="007A6814" w:rsidRPr="002F3434" w:rsidRDefault="007A6814" w:rsidP="007A6814">
            <w:pPr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Mantas Mikšta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B3D4D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B767B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4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D3FC7" w14:textId="77777777" w:rsidR="007A6814" w:rsidRPr="002F3434" w:rsidRDefault="007A6814" w:rsidP="007A6814">
            <w:pPr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468C6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vnt.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CD41F3D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1</w:t>
            </w:r>
          </w:p>
        </w:tc>
      </w:tr>
      <w:tr w:rsidR="007A6814" w14:paraId="545487B0" w14:textId="77777777" w:rsidTr="002F3434">
        <w:trPr>
          <w:gridAfter w:val="1"/>
          <w:wAfter w:w="18" w:type="dxa"/>
          <w:trHeight w:val="18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C2F73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51A88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79F62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A537C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19090" w14:textId="77777777" w:rsidR="007A6814" w:rsidRPr="002F3434" w:rsidRDefault="007A6814" w:rsidP="007A6814">
            <w:pPr>
              <w:jc w:val="right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Iš viso tikslui: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3E052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C5174F2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4,0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02281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8B0B7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02E15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A6814" w14:paraId="2FC929CC" w14:textId="77777777" w:rsidTr="002F3434">
        <w:trPr>
          <w:gridAfter w:val="1"/>
          <w:wAfter w:w="17" w:type="dxa"/>
          <w:trHeight w:val="17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63D49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9E4E6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F1B0D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DB735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A6544" w14:textId="77777777" w:rsidR="007A6814" w:rsidRPr="002F3434" w:rsidRDefault="007A6814" w:rsidP="007A6814">
            <w:pPr>
              <w:jc w:val="right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Iš viso programai: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BA297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9603C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4,0</w:t>
            </w:r>
          </w:p>
        </w:tc>
        <w:tc>
          <w:tcPr>
            <w:tcW w:w="5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DAE6B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A6814" w14:paraId="75728569" w14:textId="77777777" w:rsidTr="002F3434">
        <w:trPr>
          <w:trHeight w:val="227"/>
        </w:trPr>
        <w:tc>
          <w:tcPr>
            <w:tcW w:w="159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6625563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07 programa „Aplinka ir miesto plėtra“</w:t>
            </w:r>
          </w:p>
        </w:tc>
      </w:tr>
      <w:tr w:rsidR="007A6814" w14:paraId="3EC25338" w14:textId="77777777" w:rsidTr="002F3434">
        <w:trPr>
          <w:gridAfter w:val="1"/>
          <w:wAfter w:w="18" w:type="dxa"/>
          <w:trHeight w:val="18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5142A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37563" w14:textId="77777777" w:rsidR="007A6814" w:rsidRPr="002F3434" w:rsidRDefault="007A6814" w:rsidP="007A6814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2F3434">
              <w:rPr>
                <w:b/>
                <w:bCs/>
                <w:color w:val="C00000"/>
                <w:sz w:val="18"/>
                <w:szCs w:val="18"/>
              </w:rPr>
              <w:t>7.1.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B208C" w14:textId="77777777" w:rsidR="007A6814" w:rsidRPr="002F3434" w:rsidRDefault="007A6814" w:rsidP="007A6814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2F3434">
              <w:rPr>
                <w:b/>
                <w:bCs/>
                <w:color w:val="C00000"/>
                <w:sz w:val="18"/>
                <w:szCs w:val="18"/>
              </w:rPr>
              <w:t>Tikslas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C5C92" w14:textId="77777777" w:rsidR="007A6814" w:rsidRPr="002F3434" w:rsidRDefault="007A6814" w:rsidP="007A6814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2F3434">
              <w:rPr>
                <w:b/>
                <w:bCs/>
                <w:color w:val="C00000"/>
                <w:sz w:val="18"/>
                <w:szCs w:val="18"/>
              </w:rPr>
              <w:t>Gyvenimo kokybė nepriklausomai nuo rajono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83257" w14:textId="77777777" w:rsidR="007A6814" w:rsidRPr="002F3434" w:rsidRDefault="007A6814" w:rsidP="007A6814">
            <w:pPr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023A0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379E2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794E4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7B4BC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D7C31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A6814" w14:paraId="2CC57C96" w14:textId="77777777" w:rsidTr="002F3434">
        <w:trPr>
          <w:gridAfter w:val="1"/>
          <w:wAfter w:w="18" w:type="dxa"/>
          <w:trHeight w:val="342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F6914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F0705" w14:textId="77777777" w:rsidR="007A6814" w:rsidRPr="002F3434" w:rsidRDefault="007A6814" w:rsidP="007A6814">
            <w:pPr>
              <w:rPr>
                <w:b/>
                <w:bCs/>
                <w:color w:val="292929"/>
                <w:sz w:val="18"/>
                <w:szCs w:val="18"/>
              </w:rPr>
            </w:pPr>
            <w:r w:rsidRPr="002F3434">
              <w:rPr>
                <w:b/>
                <w:bCs/>
                <w:color w:val="292929"/>
                <w:sz w:val="18"/>
                <w:szCs w:val="18"/>
              </w:rPr>
              <w:t>7.1.3.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D3417" w14:textId="77777777" w:rsidR="007A6814" w:rsidRPr="002F3434" w:rsidRDefault="007A6814" w:rsidP="007A6814">
            <w:pPr>
              <w:rPr>
                <w:b/>
                <w:bCs/>
                <w:color w:val="292929"/>
                <w:sz w:val="18"/>
                <w:szCs w:val="18"/>
              </w:rPr>
            </w:pPr>
            <w:r w:rsidRPr="002F3434">
              <w:rPr>
                <w:b/>
                <w:bCs/>
                <w:color w:val="292929"/>
                <w:sz w:val="18"/>
                <w:szCs w:val="18"/>
              </w:rPr>
              <w:t>UŽDAVINYS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4380F" w14:textId="77777777" w:rsidR="007A6814" w:rsidRPr="002F3434" w:rsidRDefault="007A6814" w:rsidP="007A6814">
            <w:pPr>
              <w:rPr>
                <w:b/>
                <w:bCs/>
                <w:color w:val="292929"/>
                <w:sz w:val="18"/>
                <w:szCs w:val="18"/>
              </w:rPr>
            </w:pPr>
            <w:proofErr w:type="spellStart"/>
            <w:r w:rsidRPr="002F3434">
              <w:rPr>
                <w:b/>
                <w:bCs/>
                <w:color w:val="292929"/>
                <w:sz w:val="18"/>
                <w:szCs w:val="18"/>
              </w:rPr>
              <w:t>Gyvenamiesji</w:t>
            </w:r>
            <w:proofErr w:type="spellEnd"/>
            <w:r w:rsidRPr="002F3434">
              <w:rPr>
                <w:b/>
                <w:bCs/>
                <w:color w:val="292929"/>
                <w:sz w:val="18"/>
                <w:szCs w:val="18"/>
              </w:rPr>
              <w:t xml:space="preserve"> rajonai - daugiafunkcė ir įdomi gyventi aplinka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79242" w14:textId="77777777" w:rsidR="007A6814" w:rsidRPr="002F3434" w:rsidRDefault="007A6814" w:rsidP="007A6814">
            <w:pPr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2BCA7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C21DD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C1B43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EBC77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12D5A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A6814" w14:paraId="3AE88D90" w14:textId="77777777" w:rsidTr="002F3434">
        <w:trPr>
          <w:gridAfter w:val="1"/>
          <w:wAfter w:w="18" w:type="dxa"/>
          <w:trHeight w:val="18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94462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13ECB" w14:textId="77777777" w:rsidR="007A6814" w:rsidRPr="002F3434" w:rsidRDefault="007A6814" w:rsidP="007A6814">
            <w:pPr>
              <w:rPr>
                <w:color w:val="292929"/>
                <w:sz w:val="18"/>
                <w:szCs w:val="18"/>
              </w:rPr>
            </w:pPr>
            <w:r w:rsidRPr="002F3434">
              <w:rPr>
                <w:color w:val="292929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2A764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CA9A1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45A88" w14:textId="77777777" w:rsidR="007A6814" w:rsidRPr="002F3434" w:rsidRDefault="007A6814" w:rsidP="007A6814">
            <w:pPr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1F378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F0D3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 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4AB43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16A9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12BC2" w14:textId="77777777" w:rsidR="007A6814" w:rsidRPr="002F3434" w:rsidRDefault="007A6814" w:rsidP="007A6814">
            <w:pPr>
              <w:jc w:val="center"/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A6814" w14:paraId="49A2C7F2" w14:textId="77777777" w:rsidTr="002F3434">
        <w:trPr>
          <w:gridAfter w:val="1"/>
          <w:wAfter w:w="18" w:type="dxa"/>
          <w:trHeight w:val="18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BB039" w14:textId="77777777" w:rsidR="007A6814" w:rsidRPr="002F3434" w:rsidRDefault="007A6814" w:rsidP="007A6814">
            <w:pPr>
              <w:jc w:val="right"/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207 110 107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42531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7.1.3.12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3A244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SVP priemonė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4DFE6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Naujamiesčio seniūnijos teritorijos priežiūra ir atnaujinimas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E422F" w14:textId="77777777" w:rsidR="007A6814" w:rsidRPr="002F3434" w:rsidRDefault="007A6814" w:rsidP="007A6814">
            <w:pPr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Mantas Mikšta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DF7CA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7DDD1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47,9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5882C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Gyventojų pasitenkinimo gyvenamąja aplinka lygis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5D362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proc.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B1071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81</w:t>
            </w:r>
          </w:p>
        </w:tc>
      </w:tr>
      <w:tr w:rsidR="007A6814" w14:paraId="29096C8E" w14:textId="77777777" w:rsidTr="002F3434">
        <w:trPr>
          <w:gridAfter w:val="1"/>
          <w:wAfter w:w="18" w:type="dxa"/>
          <w:trHeight w:val="189"/>
        </w:trPr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DD635D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C398F19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338149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F380C5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19FE8B2" w14:textId="77777777" w:rsidR="007A6814" w:rsidRPr="002F3434" w:rsidRDefault="007A6814" w:rsidP="007A6814">
            <w:pPr>
              <w:jc w:val="right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Iš viso tikslui: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AEDA6B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4FE07F9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47,9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84B1C6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DA4DC5C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8A690AE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A6814" w14:paraId="4E81E941" w14:textId="77777777" w:rsidTr="002F3434">
        <w:trPr>
          <w:gridAfter w:val="1"/>
          <w:wAfter w:w="18" w:type="dxa"/>
          <w:trHeight w:val="189"/>
        </w:trPr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5B7A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033A2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99F4C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11176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Mažosios infrastruktūros, laiptų, šaligatvių remonto darbai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79018" w14:textId="77777777" w:rsidR="007A6814" w:rsidRPr="002F3434" w:rsidRDefault="007A6814" w:rsidP="007A6814">
            <w:pPr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Mantas Mikšta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FB359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033E1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17,9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2EA58" w14:textId="77777777" w:rsidR="007A6814" w:rsidRPr="002F3434" w:rsidRDefault="007A6814" w:rsidP="007A6814">
            <w:pPr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 xml:space="preserve">Sutvarkytų erdvių skaičius 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5273B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vnt.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A1EE69D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3</w:t>
            </w:r>
          </w:p>
        </w:tc>
      </w:tr>
      <w:tr w:rsidR="007A6814" w14:paraId="1179259E" w14:textId="77777777" w:rsidTr="002F3434">
        <w:trPr>
          <w:gridAfter w:val="1"/>
          <w:wAfter w:w="18" w:type="dxa"/>
          <w:trHeight w:val="362"/>
        </w:trPr>
        <w:tc>
          <w:tcPr>
            <w:tcW w:w="13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8DE42BE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B374F3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9A66C4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55AE6" w14:textId="77777777" w:rsidR="007A6814" w:rsidRPr="002F3434" w:rsidRDefault="007A6814" w:rsidP="007A6814">
            <w:pPr>
              <w:rPr>
                <w:color w:val="000000"/>
                <w:sz w:val="18"/>
                <w:szCs w:val="18"/>
              </w:rPr>
            </w:pPr>
            <w:r w:rsidRPr="002F3434">
              <w:rPr>
                <w:color w:val="000000"/>
                <w:sz w:val="18"/>
                <w:szCs w:val="18"/>
              </w:rPr>
              <w:t>Projekto „Dalyvauk! Vilnius“ idėjos „Geriausia džiovyklė - vėjas!“ įgyvendinimas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D0065" w14:textId="77777777" w:rsidR="007A6814" w:rsidRPr="002F3434" w:rsidRDefault="007A6814" w:rsidP="007A6814">
            <w:pPr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Mantas Mikšta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3E51089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B83CB3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30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7FD6C46" w14:textId="77777777" w:rsidR="007A6814" w:rsidRPr="002F3434" w:rsidRDefault="007A6814" w:rsidP="007A6814">
            <w:pPr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 xml:space="preserve">Sutvarkytų erdvių skaičius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2FC40C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vnt.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380DBB2" w14:textId="77777777" w:rsidR="007A6814" w:rsidRPr="002F3434" w:rsidRDefault="007A6814" w:rsidP="007A6814">
            <w:pPr>
              <w:jc w:val="center"/>
              <w:rPr>
                <w:sz w:val="18"/>
                <w:szCs w:val="18"/>
              </w:rPr>
            </w:pPr>
            <w:r w:rsidRPr="002F3434">
              <w:rPr>
                <w:sz w:val="18"/>
                <w:szCs w:val="18"/>
              </w:rPr>
              <w:t>4</w:t>
            </w:r>
          </w:p>
        </w:tc>
      </w:tr>
      <w:tr w:rsidR="007A6814" w14:paraId="5FC968FF" w14:textId="77777777" w:rsidTr="002F3434">
        <w:trPr>
          <w:gridAfter w:val="1"/>
          <w:wAfter w:w="18" w:type="dxa"/>
          <w:trHeight w:val="18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A3CB5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7DF84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6BD38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5E755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8877E" w14:textId="77777777" w:rsidR="007A6814" w:rsidRPr="002F3434" w:rsidRDefault="007A6814" w:rsidP="007A6814">
            <w:pPr>
              <w:jc w:val="right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Iš viso tikslui: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2978E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F5D17EC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47,9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BA3CE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80567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42C05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A6814" w14:paraId="3CE81C5D" w14:textId="77777777" w:rsidTr="002F3434">
        <w:trPr>
          <w:gridAfter w:val="1"/>
          <w:wAfter w:w="17" w:type="dxa"/>
          <w:trHeight w:val="52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DECC8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18EF3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5AF08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8ACEF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F1D4C" w14:textId="77777777" w:rsidR="007A6814" w:rsidRPr="002F3434" w:rsidRDefault="007A6814" w:rsidP="007A6814">
            <w:pPr>
              <w:jc w:val="right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Iš viso programai: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3C998" w14:textId="77777777" w:rsidR="007A6814" w:rsidRPr="002F3434" w:rsidRDefault="007A6814" w:rsidP="007A6814">
            <w:pPr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9B604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47,9</w:t>
            </w:r>
          </w:p>
        </w:tc>
        <w:tc>
          <w:tcPr>
            <w:tcW w:w="5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8A393" w14:textId="77777777" w:rsidR="007A6814" w:rsidRPr="002F3434" w:rsidRDefault="007A6814" w:rsidP="007A6814">
            <w:pPr>
              <w:jc w:val="center"/>
              <w:rPr>
                <w:b/>
                <w:bCs/>
                <w:sz w:val="18"/>
                <w:szCs w:val="18"/>
              </w:rPr>
            </w:pPr>
            <w:r w:rsidRPr="002F3434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14:paraId="6A8F31D8" w14:textId="77777777" w:rsidR="00211782" w:rsidRDefault="00211782" w:rsidP="007A6814">
      <w:pPr>
        <w:ind w:right="677"/>
      </w:pPr>
    </w:p>
    <w:sectPr w:rsidR="00211782" w:rsidSect="00211782">
      <w:pgSz w:w="16838" w:h="11906" w:orient="landscape"/>
      <w:pgMar w:top="1701" w:right="1135" w:bottom="707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8ED9F" w14:textId="77777777" w:rsidR="007444D0" w:rsidRDefault="007444D0" w:rsidP="00121237">
      <w:r>
        <w:separator/>
      </w:r>
    </w:p>
  </w:endnote>
  <w:endnote w:type="continuationSeparator" w:id="0">
    <w:p w14:paraId="1ECD86D5" w14:textId="77777777" w:rsidR="007444D0" w:rsidRDefault="007444D0" w:rsidP="0012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B78E" w14:textId="77777777" w:rsidR="007444D0" w:rsidRDefault="007444D0" w:rsidP="00121237">
      <w:r>
        <w:separator/>
      </w:r>
    </w:p>
  </w:footnote>
  <w:footnote w:type="continuationSeparator" w:id="0">
    <w:p w14:paraId="195C1482" w14:textId="77777777" w:rsidR="007444D0" w:rsidRDefault="007444D0" w:rsidP="0012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1443782"/>
      <w:docPartObj>
        <w:docPartGallery w:val="Page Numbers (Top of Page)"/>
        <w:docPartUnique/>
      </w:docPartObj>
    </w:sdtPr>
    <w:sdtContent>
      <w:p w14:paraId="7FDCE243" w14:textId="3DE98000" w:rsidR="00121237" w:rsidRDefault="0012123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80995" w14:textId="77777777" w:rsidR="00121237" w:rsidRDefault="001212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15F0F"/>
    <w:multiLevelType w:val="hybridMultilevel"/>
    <w:tmpl w:val="3E4EC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214D3"/>
    <w:multiLevelType w:val="hybridMultilevel"/>
    <w:tmpl w:val="D7EE55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403C22"/>
    <w:multiLevelType w:val="hybridMultilevel"/>
    <w:tmpl w:val="D916A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5262E"/>
    <w:multiLevelType w:val="hybridMultilevel"/>
    <w:tmpl w:val="3EC8E77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7021BD"/>
    <w:multiLevelType w:val="hybridMultilevel"/>
    <w:tmpl w:val="D7EE554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8578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746194">
    <w:abstractNumId w:val="4"/>
  </w:num>
  <w:num w:numId="3" w16cid:durableId="2000965687">
    <w:abstractNumId w:val="3"/>
  </w:num>
  <w:num w:numId="4" w16cid:durableId="620496063">
    <w:abstractNumId w:val="1"/>
  </w:num>
  <w:num w:numId="5" w16cid:durableId="1242527445">
    <w:abstractNumId w:val="0"/>
  </w:num>
  <w:num w:numId="6" w16cid:durableId="1639608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83"/>
    <w:rsid w:val="0002186E"/>
    <w:rsid w:val="00021951"/>
    <w:rsid w:val="00036F06"/>
    <w:rsid w:val="00043A94"/>
    <w:rsid w:val="000479B1"/>
    <w:rsid w:val="00066510"/>
    <w:rsid w:val="00067F79"/>
    <w:rsid w:val="000B194E"/>
    <w:rsid w:val="000B452D"/>
    <w:rsid w:val="000C3545"/>
    <w:rsid w:val="000D3B4B"/>
    <w:rsid w:val="000E0718"/>
    <w:rsid w:val="00107DC3"/>
    <w:rsid w:val="00112713"/>
    <w:rsid w:val="00114CE2"/>
    <w:rsid w:val="00121237"/>
    <w:rsid w:val="0012208A"/>
    <w:rsid w:val="00126681"/>
    <w:rsid w:val="00131F5A"/>
    <w:rsid w:val="001508D6"/>
    <w:rsid w:val="00176764"/>
    <w:rsid w:val="00190487"/>
    <w:rsid w:val="00192828"/>
    <w:rsid w:val="001A43B3"/>
    <w:rsid w:val="001A5015"/>
    <w:rsid w:val="001B3178"/>
    <w:rsid w:val="001E2AFB"/>
    <w:rsid w:val="00211782"/>
    <w:rsid w:val="00222092"/>
    <w:rsid w:val="00232212"/>
    <w:rsid w:val="00274767"/>
    <w:rsid w:val="002860DC"/>
    <w:rsid w:val="00287F20"/>
    <w:rsid w:val="002B33CD"/>
    <w:rsid w:val="002C719D"/>
    <w:rsid w:val="002D0B93"/>
    <w:rsid w:val="002E56DE"/>
    <w:rsid w:val="002F3434"/>
    <w:rsid w:val="00303330"/>
    <w:rsid w:val="00336118"/>
    <w:rsid w:val="00347BB4"/>
    <w:rsid w:val="00350AF7"/>
    <w:rsid w:val="00354634"/>
    <w:rsid w:val="00377323"/>
    <w:rsid w:val="003800ED"/>
    <w:rsid w:val="00384473"/>
    <w:rsid w:val="00390260"/>
    <w:rsid w:val="003E4F93"/>
    <w:rsid w:val="003E55B8"/>
    <w:rsid w:val="00403206"/>
    <w:rsid w:val="00422B0C"/>
    <w:rsid w:val="00455C3B"/>
    <w:rsid w:val="004605D8"/>
    <w:rsid w:val="0049209C"/>
    <w:rsid w:val="00495C9D"/>
    <w:rsid w:val="004B1979"/>
    <w:rsid w:val="004D72B1"/>
    <w:rsid w:val="004E15C3"/>
    <w:rsid w:val="004E4260"/>
    <w:rsid w:val="00521F8F"/>
    <w:rsid w:val="005433ED"/>
    <w:rsid w:val="0055717F"/>
    <w:rsid w:val="00584D8E"/>
    <w:rsid w:val="005861F5"/>
    <w:rsid w:val="005946D0"/>
    <w:rsid w:val="00595CE8"/>
    <w:rsid w:val="005B59F0"/>
    <w:rsid w:val="006016D5"/>
    <w:rsid w:val="006031A0"/>
    <w:rsid w:val="00654BC4"/>
    <w:rsid w:val="006635D0"/>
    <w:rsid w:val="00672183"/>
    <w:rsid w:val="006763E6"/>
    <w:rsid w:val="00676E2E"/>
    <w:rsid w:val="006B4B18"/>
    <w:rsid w:val="006F6F70"/>
    <w:rsid w:val="00707691"/>
    <w:rsid w:val="00714D98"/>
    <w:rsid w:val="00722B80"/>
    <w:rsid w:val="0074254B"/>
    <w:rsid w:val="007444D0"/>
    <w:rsid w:val="0075471E"/>
    <w:rsid w:val="00761151"/>
    <w:rsid w:val="00766A44"/>
    <w:rsid w:val="00770C8E"/>
    <w:rsid w:val="007A6814"/>
    <w:rsid w:val="007C3DB5"/>
    <w:rsid w:val="007D0F27"/>
    <w:rsid w:val="007D3A9B"/>
    <w:rsid w:val="007E32AD"/>
    <w:rsid w:val="007E4AD0"/>
    <w:rsid w:val="007F3F03"/>
    <w:rsid w:val="0080273F"/>
    <w:rsid w:val="00802E78"/>
    <w:rsid w:val="00807C52"/>
    <w:rsid w:val="00817E39"/>
    <w:rsid w:val="00855207"/>
    <w:rsid w:val="00860A4D"/>
    <w:rsid w:val="0086668F"/>
    <w:rsid w:val="00874B36"/>
    <w:rsid w:val="0089043E"/>
    <w:rsid w:val="008A59B1"/>
    <w:rsid w:val="008B4307"/>
    <w:rsid w:val="008C516B"/>
    <w:rsid w:val="008E53B1"/>
    <w:rsid w:val="008F5703"/>
    <w:rsid w:val="00910F3F"/>
    <w:rsid w:val="00922EC3"/>
    <w:rsid w:val="00944949"/>
    <w:rsid w:val="00955D9B"/>
    <w:rsid w:val="00961183"/>
    <w:rsid w:val="009948BE"/>
    <w:rsid w:val="009A6FA5"/>
    <w:rsid w:val="009B1E4A"/>
    <w:rsid w:val="009D1EF6"/>
    <w:rsid w:val="009E17F1"/>
    <w:rsid w:val="009F3033"/>
    <w:rsid w:val="00A12EE3"/>
    <w:rsid w:val="00A304E1"/>
    <w:rsid w:val="00A31DDC"/>
    <w:rsid w:val="00A43934"/>
    <w:rsid w:val="00A70C73"/>
    <w:rsid w:val="00A714FD"/>
    <w:rsid w:val="00A76887"/>
    <w:rsid w:val="00A90CCE"/>
    <w:rsid w:val="00AC0174"/>
    <w:rsid w:val="00AE54DE"/>
    <w:rsid w:val="00AF6B43"/>
    <w:rsid w:val="00B0052C"/>
    <w:rsid w:val="00B047EA"/>
    <w:rsid w:val="00B13133"/>
    <w:rsid w:val="00B2402A"/>
    <w:rsid w:val="00B528F9"/>
    <w:rsid w:val="00B53781"/>
    <w:rsid w:val="00B55779"/>
    <w:rsid w:val="00B7518E"/>
    <w:rsid w:val="00B81208"/>
    <w:rsid w:val="00B81643"/>
    <w:rsid w:val="00B86266"/>
    <w:rsid w:val="00BA329A"/>
    <w:rsid w:val="00BA7CCB"/>
    <w:rsid w:val="00BD6362"/>
    <w:rsid w:val="00BE5C6C"/>
    <w:rsid w:val="00BF3D25"/>
    <w:rsid w:val="00C37754"/>
    <w:rsid w:val="00C44B06"/>
    <w:rsid w:val="00C623EE"/>
    <w:rsid w:val="00C94E52"/>
    <w:rsid w:val="00CA705C"/>
    <w:rsid w:val="00CB4005"/>
    <w:rsid w:val="00CB4718"/>
    <w:rsid w:val="00CE2509"/>
    <w:rsid w:val="00D04AF3"/>
    <w:rsid w:val="00D14365"/>
    <w:rsid w:val="00D17752"/>
    <w:rsid w:val="00D36BE8"/>
    <w:rsid w:val="00D37C33"/>
    <w:rsid w:val="00D77CD3"/>
    <w:rsid w:val="00D8509C"/>
    <w:rsid w:val="00D978B0"/>
    <w:rsid w:val="00DA4DB3"/>
    <w:rsid w:val="00DA690E"/>
    <w:rsid w:val="00DB3037"/>
    <w:rsid w:val="00DB6968"/>
    <w:rsid w:val="00DB6F32"/>
    <w:rsid w:val="00DC1D80"/>
    <w:rsid w:val="00E04189"/>
    <w:rsid w:val="00E06CA2"/>
    <w:rsid w:val="00E204E6"/>
    <w:rsid w:val="00E30177"/>
    <w:rsid w:val="00E4180E"/>
    <w:rsid w:val="00E429BE"/>
    <w:rsid w:val="00E55291"/>
    <w:rsid w:val="00E6094C"/>
    <w:rsid w:val="00E62D62"/>
    <w:rsid w:val="00E73560"/>
    <w:rsid w:val="00E7554A"/>
    <w:rsid w:val="00EC2B83"/>
    <w:rsid w:val="00EE1C03"/>
    <w:rsid w:val="00EE4E8B"/>
    <w:rsid w:val="00F004C6"/>
    <w:rsid w:val="00F03A04"/>
    <w:rsid w:val="00F2563A"/>
    <w:rsid w:val="00F37DF4"/>
    <w:rsid w:val="00F52666"/>
    <w:rsid w:val="00F57AA5"/>
    <w:rsid w:val="00F80B5B"/>
    <w:rsid w:val="00FE408B"/>
    <w:rsid w:val="00FE4A4C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BE73F"/>
  <w15:chartTrackingRefBased/>
  <w15:docId w15:val="{43954DDF-BE48-43E7-99ED-433678F4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72183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72183"/>
    <w:pPr>
      <w:spacing w:before="100" w:beforeAutospacing="1" w:after="100" w:afterAutospacing="1"/>
    </w:pPr>
  </w:style>
  <w:style w:type="paragraph" w:styleId="Pavadinimas">
    <w:name w:val="Title"/>
    <w:basedOn w:val="prastasis"/>
    <w:qFormat/>
    <w:rsid w:val="00672183"/>
    <w:pPr>
      <w:jc w:val="center"/>
    </w:pPr>
    <w:rPr>
      <w:b/>
      <w:bCs/>
    </w:rPr>
  </w:style>
  <w:style w:type="table" w:styleId="Lentelstinklelis">
    <w:name w:val="Table Grid"/>
    <w:basedOn w:val="prastojilentel"/>
    <w:rsid w:val="00672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AE54DE"/>
    <w:rPr>
      <w:rFonts w:ascii="Tahoma" w:hAnsi="Tahoma" w:cs="Tahoma"/>
      <w:sz w:val="16"/>
      <w:szCs w:val="16"/>
    </w:rPr>
  </w:style>
  <w:style w:type="paragraph" w:customStyle="1" w:styleId="centrbold">
    <w:name w:val="centrbold"/>
    <w:basedOn w:val="prastasis"/>
    <w:rsid w:val="0089043E"/>
    <w:pPr>
      <w:spacing w:before="100" w:beforeAutospacing="1" w:after="100" w:afterAutospacing="1"/>
    </w:pPr>
    <w:rPr>
      <w:lang w:eastAsia="lt-LT"/>
    </w:rPr>
  </w:style>
  <w:style w:type="paragraph" w:styleId="Betarp">
    <w:name w:val="No Spacing"/>
    <w:uiPriority w:val="1"/>
    <w:qFormat/>
    <w:rsid w:val="00922EC3"/>
    <w:pPr>
      <w:jc w:val="both"/>
    </w:pPr>
    <w:rPr>
      <w:rFonts w:eastAsia="Calibri" w:cs="Calibri"/>
      <w:sz w:val="24"/>
      <w:szCs w:val="22"/>
    </w:rPr>
  </w:style>
  <w:style w:type="paragraph" w:styleId="Pataisymai">
    <w:name w:val="Revision"/>
    <w:hidden/>
    <w:uiPriority w:val="99"/>
    <w:semiHidden/>
    <w:rsid w:val="00EC2B83"/>
    <w:rPr>
      <w:sz w:val="24"/>
      <w:szCs w:val="24"/>
      <w:lang w:eastAsia="en-US"/>
    </w:rPr>
  </w:style>
  <w:style w:type="character" w:styleId="Komentaronuoroda">
    <w:name w:val="annotation reference"/>
    <w:rsid w:val="009948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8B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948B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948BE"/>
    <w:rPr>
      <w:b/>
      <w:bCs/>
    </w:rPr>
  </w:style>
  <w:style w:type="character" w:customStyle="1" w:styleId="KomentarotemaDiagrama">
    <w:name w:val="Komentaro tema Diagrama"/>
    <w:link w:val="Komentarotema"/>
    <w:rsid w:val="009948BE"/>
    <w:rPr>
      <w:b/>
      <w:bCs/>
      <w:lang w:eastAsia="en-US"/>
    </w:rPr>
  </w:style>
  <w:style w:type="character" w:styleId="Grietas">
    <w:name w:val="Strong"/>
    <w:qFormat/>
    <w:rsid w:val="00AF6B43"/>
    <w:rPr>
      <w:b/>
      <w:bCs/>
    </w:rPr>
  </w:style>
  <w:style w:type="character" w:styleId="Hipersaitas">
    <w:name w:val="Hyperlink"/>
    <w:basedOn w:val="Numatytasispastraiposriftas"/>
    <w:rsid w:val="005B59F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B59F0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rsid w:val="001212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21237"/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21237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12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D52A8-E4E4-4869-A190-609BA1A23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507DE-1F5E-48E6-8F4B-C52EB5E5189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25FFB87C-D743-4A86-BA49-168FEB5C4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473A2F-761A-409F-A6B4-9E4C7A9D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5802</Words>
  <Characters>3308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vmsa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-</dc:creator>
  <cp:lastModifiedBy>Mantas Mikšta</cp:lastModifiedBy>
  <cp:revision>3</cp:revision>
  <cp:lastPrinted>2014-07-24T06:41:00Z</cp:lastPrinted>
  <dcterms:created xsi:type="dcterms:W3CDTF">2026-03-17T13:01:00Z</dcterms:created>
  <dcterms:modified xsi:type="dcterms:W3CDTF">2026-03-17T13:26:00Z</dcterms:modified>
</cp:coreProperties>
</file>