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D8" w:rsidRDefault="00E063D8" w:rsidP="00E063D8">
      <w:pPr>
        <w:jc w:val="right"/>
      </w:pPr>
      <w:r>
        <w:rPr>
          <w:sz w:val="24"/>
          <w:szCs w:val="24"/>
        </w:rPr>
        <w:t>Konkurso sąlygų 1 priedas</w:t>
      </w:r>
    </w:p>
    <w:p w:rsidR="00E063D8" w:rsidRDefault="00E063D8" w:rsidP="00E063D8">
      <w:pPr>
        <w:jc w:val="right"/>
      </w:pPr>
    </w:p>
    <w:p w:rsidR="00E063D8" w:rsidRDefault="00E063D8" w:rsidP="00E063D8">
      <w:pPr>
        <w:jc w:val="center"/>
      </w:pPr>
      <w:r>
        <w:rPr>
          <w:b/>
          <w:sz w:val="24"/>
          <w:szCs w:val="24"/>
        </w:rPr>
        <w:t xml:space="preserve"> </w:t>
      </w:r>
      <w:r w:rsidRPr="00467FE2">
        <w:rPr>
          <w:b/>
          <w:sz w:val="24"/>
          <w:szCs w:val="24"/>
        </w:rPr>
        <w:t xml:space="preserve"> </w:t>
      </w:r>
      <w:r>
        <w:rPr>
          <w:b/>
          <w:color w:val="333333"/>
          <w:sz w:val="24"/>
          <w:szCs w:val="24"/>
        </w:rPr>
        <w:t xml:space="preserve">OPERATORIŲ PARINKIMO </w:t>
      </w:r>
      <w:r w:rsidRPr="00E063D8">
        <w:rPr>
          <w:b/>
          <w:sz w:val="24"/>
          <w:szCs w:val="24"/>
        </w:rPr>
        <w:t>ELEKTROMOBILIŲ ĮPRASTOS GALIOS ĮKROVIMO PRIEIGŲ ĮRENGIMO IR EKSPLOATAVIMO PASLAUGOS</w:t>
      </w:r>
      <w:r>
        <w:rPr>
          <w:b/>
          <w:color w:val="333333"/>
          <w:sz w:val="24"/>
          <w:szCs w:val="24"/>
        </w:rPr>
        <w:t xml:space="preserve"> VILNIAUS MIESTO </w:t>
      </w:r>
      <w:r w:rsidRPr="00E063D8">
        <w:rPr>
          <w:b/>
          <w:sz w:val="24"/>
        </w:rPr>
        <w:t>SAVIVALDYBĖS VIEŠOJOJE TERITORIJOJE</w:t>
      </w:r>
      <w:r w:rsidRPr="00E063D8">
        <w:rPr>
          <w:b/>
          <w:color w:val="333333"/>
          <w:sz w:val="32"/>
          <w:szCs w:val="24"/>
        </w:rPr>
        <w:t xml:space="preserve"> </w:t>
      </w:r>
      <w:r>
        <w:rPr>
          <w:b/>
          <w:color w:val="333333"/>
          <w:sz w:val="24"/>
          <w:szCs w:val="24"/>
        </w:rPr>
        <w:t>PIRKIMO</w:t>
      </w:r>
      <w:r>
        <w:rPr>
          <w:sz w:val="24"/>
          <w:szCs w:val="24"/>
        </w:rPr>
        <w:t xml:space="preserve"> </w:t>
      </w:r>
      <w:r>
        <w:rPr>
          <w:b/>
          <w:sz w:val="24"/>
          <w:szCs w:val="24"/>
        </w:rPr>
        <w:t xml:space="preserve">  </w:t>
      </w:r>
    </w:p>
    <w:p w:rsidR="00E063D8" w:rsidRPr="00997270" w:rsidRDefault="00E063D8" w:rsidP="00E063D8">
      <w:pPr>
        <w:rPr>
          <w:b/>
          <w:szCs w:val="24"/>
        </w:rPr>
      </w:pPr>
      <w:r>
        <w:rPr>
          <w:b/>
          <w:sz w:val="24"/>
          <w:szCs w:val="24"/>
        </w:rPr>
        <w:t xml:space="preserve"> </w:t>
      </w:r>
    </w:p>
    <w:p w:rsidR="00E063D8" w:rsidRDefault="00E063D8" w:rsidP="00E063D8">
      <w:pPr>
        <w:pStyle w:val="Heading3"/>
      </w:pPr>
      <w:r>
        <w:t xml:space="preserve">TECHNINĖ SPECIFIKACIJA   </w:t>
      </w:r>
    </w:p>
    <w:p w:rsidR="00E063D8" w:rsidRDefault="00E063D8" w:rsidP="00E063D8"/>
    <w:p w:rsidR="00E063D8" w:rsidRDefault="00E063D8" w:rsidP="00E063D8">
      <w:pPr>
        <w:jc w:val="center"/>
        <w:rPr>
          <w:b/>
          <w:sz w:val="24"/>
          <w:szCs w:val="24"/>
        </w:rPr>
      </w:pPr>
      <w:r>
        <w:rPr>
          <w:b/>
          <w:sz w:val="24"/>
          <w:szCs w:val="24"/>
        </w:rPr>
        <w:t>I.   BENDROSIOS NUOSTATOS</w:t>
      </w:r>
    </w:p>
    <w:p w:rsidR="0001447F" w:rsidRDefault="0001447F" w:rsidP="00E063D8">
      <w:pPr>
        <w:jc w:val="center"/>
      </w:pPr>
    </w:p>
    <w:p w:rsidR="00E063D8" w:rsidRDefault="0001447F" w:rsidP="0001447F">
      <w:pPr>
        <w:pStyle w:val="TS11"/>
        <w:numPr>
          <w:ilvl w:val="0"/>
          <w:numId w:val="0"/>
        </w:numPr>
        <w:spacing w:before="0"/>
        <w:ind w:firstLine="709"/>
      </w:pPr>
      <w:bookmarkStart w:id="0" w:name="_Toc413141282"/>
      <w:r>
        <w:t xml:space="preserve">1.  </w:t>
      </w:r>
      <w:r w:rsidRPr="006E6886">
        <w:t>Viešosios elektromobilių krovimo infrastruktūros paskirtis – sudaryti galimybes elektromobilių naudotojams sklandžiai ir nepertraukiamai vykdyti kelion</w:t>
      </w:r>
      <w:r>
        <w:t>e</w:t>
      </w:r>
      <w:r w:rsidRPr="006E6886">
        <w:t>s</w:t>
      </w:r>
      <w:r>
        <w:t xml:space="preserve"> Vilniaus</w:t>
      </w:r>
      <w:r w:rsidRPr="006E6886">
        <w:t xml:space="preserve"> </w:t>
      </w:r>
      <w:r>
        <w:t>mieste</w:t>
      </w:r>
      <w:bookmarkEnd w:id="0"/>
      <w:r w:rsidRPr="006E6886">
        <w:t>, mažinant naftos produktų vartojimą transporto sektoriuje ir švelninant transporto poveikį aplinkai.</w:t>
      </w:r>
    </w:p>
    <w:p w:rsidR="00E063D8" w:rsidRDefault="0001447F" w:rsidP="0001447F">
      <w:pPr>
        <w:spacing w:line="276" w:lineRule="auto"/>
        <w:ind w:firstLine="720"/>
        <w:jc w:val="both"/>
      </w:pPr>
      <w:r>
        <w:rPr>
          <w:sz w:val="24"/>
          <w:szCs w:val="24"/>
        </w:rPr>
        <w:t>2</w:t>
      </w:r>
      <w:r w:rsidR="00E063D8">
        <w:rPr>
          <w:sz w:val="24"/>
          <w:szCs w:val="24"/>
        </w:rPr>
        <w:t xml:space="preserve">.   Pirkimo tikslas – parinkti </w:t>
      </w:r>
      <w:r w:rsidR="00FC36B8">
        <w:rPr>
          <w:sz w:val="24"/>
          <w:szCs w:val="24"/>
        </w:rPr>
        <w:t>operatorių</w:t>
      </w:r>
      <w:r w:rsidR="00E063D8">
        <w:rPr>
          <w:sz w:val="24"/>
          <w:szCs w:val="24"/>
        </w:rPr>
        <w:t xml:space="preserve"> (-</w:t>
      </w:r>
      <w:proofErr w:type="spellStart"/>
      <w:r w:rsidR="00E063D8">
        <w:rPr>
          <w:sz w:val="24"/>
          <w:szCs w:val="24"/>
        </w:rPr>
        <w:t>us</w:t>
      </w:r>
      <w:proofErr w:type="spellEnd"/>
      <w:r w:rsidR="00E063D8">
        <w:rPr>
          <w:sz w:val="24"/>
          <w:szCs w:val="24"/>
        </w:rPr>
        <w:t xml:space="preserve">), kurie </w:t>
      </w:r>
      <w:r w:rsidR="00FC36B8">
        <w:rPr>
          <w:sz w:val="24"/>
          <w:szCs w:val="24"/>
        </w:rPr>
        <w:t>elektromobilių krovos prieigų pakete nurodytų taškų adresais suprojektuotų, įrengtų nurodyto tipo ir galios elektromobilių krovos stoteles bei teiktų elektromobilių krovos paslaugas</w:t>
      </w:r>
      <w:r w:rsidR="00E063D8">
        <w:rPr>
          <w:sz w:val="24"/>
          <w:szCs w:val="24"/>
        </w:rPr>
        <w:t>.</w:t>
      </w:r>
    </w:p>
    <w:p w:rsidR="00E063D8" w:rsidRDefault="0001447F" w:rsidP="00E063D8">
      <w:pPr>
        <w:ind w:firstLine="720"/>
        <w:jc w:val="both"/>
      </w:pPr>
      <w:r>
        <w:rPr>
          <w:sz w:val="24"/>
          <w:szCs w:val="24"/>
        </w:rPr>
        <w:t>3</w:t>
      </w:r>
      <w:r w:rsidR="00E063D8">
        <w:rPr>
          <w:sz w:val="24"/>
          <w:szCs w:val="24"/>
        </w:rPr>
        <w:t xml:space="preserve">.   Pirkimas  </w:t>
      </w:r>
      <w:r w:rsidR="00FC36B8">
        <w:rPr>
          <w:sz w:val="24"/>
          <w:szCs w:val="24"/>
        </w:rPr>
        <w:t>58 elektromobilių krovos prieigoms įrengti</w:t>
      </w:r>
      <w:r>
        <w:rPr>
          <w:sz w:val="24"/>
          <w:szCs w:val="24"/>
        </w:rPr>
        <w:t xml:space="preserve"> ir eksploatuoti</w:t>
      </w:r>
      <w:r w:rsidR="00FC36B8">
        <w:rPr>
          <w:sz w:val="24"/>
          <w:szCs w:val="24"/>
        </w:rPr>
        <w:t xml:space="preserve"> </w:t>
      </w:r>
      <w:r w:rsidR="00E063D8">
        <w:rPr>
          <w:sz w:val="24"/>
          <w:szCs w:val="24"/>
        </w:rPr>
        <w:t xml:space="preserve">yra skaidomas į </w:t>
      </w:r>
      <w:r w:rsidR="00FC36B8">
        <w:rPr>
          <w:sz w:val="24"/>
          <w:szCs w:val="24"/>
        </w:rPr>
        <w:t>tr</w:t>
      </w:r>
      <w:r w:rsidR="00E063D8">
        <w:rPr>
          <w:sz w:val="24"/>
          <w:szCs w:val="24"/>
        </w:rPr>
        <w:t>i</w:t>
      </w:r>
      <w:r w:rsidR="00FC36B8">
        <w:rPr>
          <w:sz w:val="24"/>
          <w:szCs w:val="24"/>
        </w:rPr>
        <w:t>s</w:t>
      </w:r>
      <w:r w:rsidR="00E063D8">
        <w:rPr>
          <w:sz w:val="24"/>
          <w:szCs w:val="24"/>
        </w:rPr>
        <w:t xml:space="preserve"> atskiras pirkimo objekto dalis pagal žemiau nurodyt</w:t>
      </w:r>
      <w:r w:rsidR="00FC36B8">
        <w:rPr>
          <w:sz w:val="24"/>
          <w:szCs w:val="24"/>
        </w:rPr>
        <w:t>us</w:t>
      </w:r>
      <w:r w:rsidR="00E063D8">
        <w:rPr>
          <w:sz w:val="24"/>
          <w:szCs w:val="24"/>
        </w:rPr>
        <w:t xml:space="preserve"> </w:t>
      </w:r>
      <w:r w:rsidR="00FC36B8">
        <w:rPr>
          <w:sz w:val="24"/>
          <w:szCs w:val="24"/>
        </w:rPr>
        <w:t>elektromobilių krovos prieigų paketus</w:t>
      </w:r>
      <w:r w:rsidR="00E063D8">
        <w:rPr>
          <w:sz w:val="24"/>
          <w:szCs w:val="24"/>
        </w:rPr>
        <w:t>:</w:t>
      </w:r>
    </w:p>
    <w:p w:rsidR="00E063D8" w:rsidRDefault="0001447F" w:rsidP="00E063D8">
      <w:pPr>
        <w:tabs>
          <w:tab w:val="left" w:pos="709"/>
        </w:tabs>
        <w:ind w:firstLine="720"/>
        <w:jc w:val="both"/>
      </w:pPr>
      <w:r>
        <w:rPr>
          <w:sz w:val="24"/>
          <w:szCs w:val="24"/>
        </w:rPr>
        <w:t>3</w:t>
      </w:r>
      <w:r w:rsidR="00E063D8">
        <w:rPr>
          <w:sz w:val="24"/>
          <w:szCs w:val="24"/>
        </w:rPr>
        <w:t>.1.   </w:t>
      </w:r>
      <w:r w:rsidR="00FC36B8">
        <w:rPr>
          <w:sz w:val="24"/>
          <w:szCs w:val="24"/>
        </w:rPr>
        <w:t>I elektromobilių krovos prieigų paketas</w:t>
      </w:r>
      <w:r w:rsidR="00E063D8">
        <w:rPr>
          <w:sz w:val="24"/>
          <w:szCs w:val="24"/>
        </w:rPr>
        <w:t>,</w:t>
      </w:r>
      <w:r w:rsidR="00FC36B8">
        <w:rPr>
          <w:sz w:val="24"/>
          <w:szCs w:val="24"/>
        </w:rPr>
        <w:t xml:space="preserve"> į</w:t>
      </w:r>
      <w:r w:rsidR="00E063D8">
        <w:rPr>
          <w:sz w:val="24"/>
          <w:szCs w:val="24"/>
        </w:rPr>
        <w:t xml:space="preserve"> kur</w:t>
      </w:r>
      <w:r w:rsidR="00FC36B8">
        <w:rPr>
          <w:sz w:val="24"/>
          <w:szCs w:val="24"/>
        </w:rPr>
        <w:t>į</w:t>
      </w:r>
      <w:r w:rsidR="00E063D8">
        <w:rPr>
          <w:sz w:val="24"/>
          <w:szCs w:val="24"/>
        </w:rPr>
        <w:t>  </w:t>
      </w:r>
      <w:r w:rsidR="00FC36B8">
        <w:rPr>
          <w:sz w:val="24"/>
          <w:szCs w:val="24"/>
        </w:rPr>
        <w:t>įeina 20</w:t>
      </w:r>
      <w:r w:rsidR="00A66130">
        <w:rPr>
          <w:sz w:val="24"/>
          <w:szCs w:val="24"/>
        </w:rPr>
        <w:t xml:space="preserve"> kintamos srovės 22 </w:t>
      </w:r>
      <w:proofErr w:type="spellStart"/>
      <w:r w:rsidR="00A66130">
        <w:rPr>
          <w:sz w:val="24"/>
          <w:szCs w:val="24"/>
        </w:rPr>
        <w:t>kw</w:t>
      </w:r>
      <w:proofErr w:type="spellEnd"/>
      <w:r w:rsidR="00A66130">
        <w:rPr>
          <w:sz w:val="24"/>
          <w:szCs w:val="24"/>
        </w:rPr>
        <w:t xml:space="preserve"> galingumo</w:t>
      </w:r>
      <w:r w:rsidR="00FC36B8">
        <w:rPr>
          <w:sz w:val="24"/>
          <w:szCs w:val="24"/>
        </w:rPr>
        <w:t xml:space="preserve"> elektromobilių krovos prieigų taškų</w:t>
      </w:r>
      <w:r w:rsidR="00A66130">
        <w:rPr>
          <w:sz w:val="24"/>
          <w:szCs w:val="24"/>
        </w:rPr>
        <w:t>, po dvi prieigas ir dvi laukimo vietas kiekviename taške,</w:t>
      </w:r>
      <w:r>
        <w:rPr>
          <w:sz w:val="24"/>
          <w:szCs w:val="24"/>
        </w:rPr>
        <w:t xml:space="preserve"> įrengiant</w:t>
      </w:r>
      <w:r w:rsidR="00A66130">
        <w:rPr>
          <w:sz w:val="24"/>
          <w:szCs w:val="24"/>
        </w:rPr>
        <w:t xml:space="preserve"> jung</w:t>
      </w:r>
      <w:r>
        <w:rPr>
          <w:sz w:val="24"/>
          <w:szCs w:val="24"/>
        </w:rPr>
        <w:t>tis</w:t>
      </w:r>
      <w:r w:rsidR="00A66130">
        <w:rPr>
          <w:sz w:val="24"/>
          <w:szCs w:val="24"/>
        </w:rPr>
        <w:t xml:space="preserve"> tip</w:t>
      </w:r>
      <w:r>
        <w:rPr>
          <w:sz w:val="24"/>
          <w:szCs w:val="24"/>
        </w:rPr>
        <w:t>o</w:t>
      </w:r>
      <w:r w:rsidR="00A66130">
        <w:rPr>
          <w:sz w:val="24"/>
          <w:szCs w:val="24"/>
        </w:rPr>
        <w:t xml:space="preserve"> </w:t>
      </w:r>
      <w:proofErr w:type="spellStart"/>
      <w:r w:rsidR="00A66130" w:rsidRPr="00DB4389">
        <w:rPr>
          <w:sz w:val="24"/>
          <w:szCs w:val="24"/>
        </w:rPr>
        <w:t>Mode-3</w:t>
      </w:r>
      <w:proofErr w:type="spellEnd"/>
      <w:r w:rsidR="00A66130" w:rsidRPr="00DB4389">
        <w:rPr>
          <w:sz w:val="24"/>
          <w:szCs w:val="24"/>
        </w:rPr>
        <w:t xml:space="preserve"> ir </w:t>
      </w:r>
      <w:proofErr w:type="spellStart"/>
      <w:r w:rsidR="00A66130" w:rsidRPr="00DB4389">
        <w:rPr>
          <w:sz w:val="24"/>
          <w:szCs w:val="24"/>
        </w:rPr>
        <w:t>Type-2</w:t>
      </w:r>
      <w:r w:rsidR="00E063D8">
        <w:rPr>
          <w:sz w:val="24"/>
          <w:szCs w:val="24"/>
        </w:rPr>
        <w:t>:</w:t>
      </w:r>
      <w:proofErr w:type="spellEnd"/>
    </w:p>
    <w:p w:rsidR="00E063D8" w:rsidRDefault="00E063D8" w:rsidP="00E063D8"/>
    <w:tbl>
      <w:tblPr>
        <w:tblStyle w:val="TableGrid"/>
        <w:tblW w:w="9355" w:type="dxa"/>
        <w:tblInd w:w="534" w:type="dxa"/>
        <w:tblLook w:val="04A0" w:firstRow="1" w:lastRow="0" w:firstColumn="1" w:lastColumn="0" w:noHBand="0" w:noVBand="1"/>
      </w:tblPr>
      <w:tblGrid>
        <w:gridCol w:w="567"/>
        <w:gridCol w:w="1134"/>
        <w:gridCol w:w="2551"/>
        <w:gridCol w:w="5103"/>
      </w:tblGrid>
      <w:tr w:rsidR="00FC36B8" w:rsidRPr="00DB4389" w:rsidTr="00FC36B8">
        <w:tc>
          <w:tcPr>
            <w:tcW w:w="567" w:type="dxa"/>
          </w:tcPr>
          <w:p w:rsidR="00FC36B8" w:rsidRPr="00DB4389" w:rsidRDefault="00FC36B8" w:rsidP="004271B4">
            <w:pPr>
              <w:jc w:val="center"/>
              <w:rPr>
                <w:sz w:val="24"/>
                <w:szCs w:val="24"/>
              </w:rPr>
            </w:pPr>
            <w:r w:rsidRPr="00DB4389">
              <w:rPr>
                <w:sz w:val="24"/>
                <w:szCs w:val="24"/>
              </w:rPr>
              <w:t>Eil.</w:t>
            </w:r>
          </w:p>
          <w:p w:rsidR="00FC36B8" w:rsidRPr="00DB4389" w:rsidRDefault="00FC36B8" w:rsidP="004271B4">
            <w:pPr>
              <w:jc w:val="center"/>
              <w:rPr>
                <w:sz w:val="24"/>
                <w:szCs w:val="24"/>
              </w:rPr>
            </w:pPr>
            <w:r w:rsidRPr="00DB4389">
              <w:rPr>
                <w:sz w:val="24"/>
                <w:szCs w:val="24"/>
              </w:rPr>
              <w:t>Nr.</w:t>
            </w:r>
          </w:p>
        </w:tc>
        <w:tc>
          <w:tcPr>
            <w:tcW w:w="1134" w:type="dxa"/>
          </w:tcPr>
          <w:p w:rsidR="00FC36B8" w:rsidRPr="00DB4389" w:rsidRDefault="00FC36B8" w:rsidP="004271B4">
            <w:pPr>
              <w:jc w:val="center"/>
              <w:rPr>
                <w:sz w:val="24"/>
                <w:szCs w:val="24"/>
              </w:rPr>
            </w:pPr>
            <w:r w:rsidRPr="00DB4389">
              <w:rPr>
                <w:rFonts w:eastAsia="Calibri"/>
                <w:sz w:val="24"/>
                <w:szCs w:val="24"/>
              </w:rPr>
              <w:t>Indeksas schemoje</w:t>
            </w:r>
          </w:p>
        </w:tc>
        <w:tc>
          <w:tcPr>
            <w:tcW w:w="2551" w:type="dxa"/>
          </w:tcPr>
          <w:p w:rsidR="00FC36B8" w:rsidRPr="00DB4389" w:rsidRDefault="00FC36B8" w:rsidP="004271B4">
            <w:pPr>
              <w:jc w:val="center"/>
              <w:rPr>
                <w:sz w:val="24"/>
                <w:szCs w:val="24"/>
              </w:rPr>
            </w:pPr>
            <w:r w:rsidRPr="00DB4389">
              <w:rPr>
                <w:rFonts w:eastAsia="Calibri"/>
                <w:sz w:val="24"/>
                <w:szCs w:val="24"/>
              </w:rPr>
              <w:t>Įkrovimo prieigos taško vieta</w:t>
            </w:r>
          </w:p>
        </w:tc>
        <w:tc>
          <w:tcPr>
            <w:tcW w:w="5103" w:type="dxa"/>
          </w:tcPr>
          <w:p w:rsidR="00FC36B8" w:rsidRPr="00DB4389" w:rsidRDefault="00FC36B8" w:rsidP="004271B4">
            <w:pPr>
              <w:jc w:val="center"/>
              <w:rPr>
                <w:sz w:val="24"/>
                <w:szCs w:val="24"/>
              </w:rPr>
            </w:pPr>
            <w:r w:rsidRPr="00DB4389">
              <w:rPr>
                <w:sz w:val="24"/>
                <w:szCs w:val="24"/>
              </w:rPr>
              <w:t>Traukos objektai</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PK04</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Savanorių pr. 31</w:t>
            </w:r>
          </w:p>
        </w:tc>
        <w:tc>
          <w:tcPr>
            <w:tcW w:w="5103" w:type="dxa"/>
          </w:tcPr>
          <w:p w:rsidR="00FC36B8" w:rsidRPr="00DB4389" w:rsidRDefault="00FC36B8" w:rsidP="004271B4">
            <w:pPr>
              <w:jc w:val="center"/>
              <w:rPr>
                <w:sz w:val="24"/>
                <w:szCs w:val="24"/>
              </w:rPr>
            </w:pPr>
            <w:r>
              <w:rPr>
                <w:rFonts w:eastAsia="Calibri"/>
                <w:sz w:val="24"/>
                <w:szCs w:val="24"/>
              </w:rPr>
              <w:t>šalia PC</w:t>
            </w:r>
            <w:r w:rsidRPr="004A7D43">
              <w:rPr>
                <w:rFonts w:eastAsia="Calibri"/>
                <w:sz w:val="24"/>
                <w:szCs w:val="24"/>
              </w:rPr>
              <w:t xml:space="preserve"> Maxima</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2.</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PK05</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Naugarduko g. 76</w:t>
            </w:r>
          </w:p>
        </w:tc>
        <w:tc>
          <w:tcPr>
            <w:tcW w:w="5103" w:type="dxa"/>
          </w:tcPr>
          <w:p w:rsidR="00FC36B8" w:rsidRPr="00DB4389" w:rsidRDefault="00FC36B8" w:rsidP="004271B4">
            <w:pPr>
              <w:jc w:val="center"/>
              <w:rPr>
                <w:sz w:val="24"/>
                <w:szCs w:val="24"/>
              </w:rPr>
            </w:pPr>
            <w:r w:rsidRPr="004A7D43">
              <w:rPr>
                <w:rFonts w:eastAsia="Calibri"/>
                <w:sz w:val="24"/>
                <w:szCs w:val="24"/>
              </w:rPr>
              <w:t>Kauno-Žemaitės-Naugarduko g. sankryža,</w:t>
            </w:r>
            <w:r>
              <w:rPr>
                <w:rFonts w:eastAsia="Calibri"/>
                <w:sz w:val="24"/>
                <w:szCs w:val="24"/>
              </w:rPr>
              <w:t xml:space="preserve"> šalia</w:t>
            </w:r>
            <w:r w:rsidRPr="004A7D43">
              <w:rPr>
                <w:rFonts w:eastAsia="Calibri"/>
                <w:sz w:val="24"/>
                <w:szCs w:val="24"/>
              </w:rPr>
              <w:t xml:space="preserve"> PC Maxima</w:t>
            </w:r>
            <w:r>
              <w:rPr>
                <w:rFonts w:eastAsia="Calibri"/>
                <w:sz w:val="24"/>
                <w:szCs w:val="24"/>
              </w:rPr>
              <w:t xml:space="preserve"> </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3.</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PK07</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 xml:space="preserve">Bazilijonų g. 2 </w:t>
            </w:r>
          </w:p>
        </w:tc>
        <w:tc>
          <w:tcPr>
            <w:tcW w:w="5103" w:type="dxa"/>
          </w:tcPr>
          <w:p w:rsidR="00FC36B8" w:rsidRPr="00DB4389" w:rsidRDefault="00FC36B8" w:rsidP="004271B4">
            <w:pPr>
              <w:jc w:val="center"/>
              <w:rPr>
                <w:sz w:val="24"/>
                <w:szCs w:val="24"/>
              </w:rPr>
            </w:pPr>
            <w:r>
              <w:rPr>
                <w:rFonts w:eastAsia="Calibri"/>
                <w:sz w:val="24"/>
                <w:szCs w:val="24"/>
              </w:rPr>
              <w:t xml:space="preserve">šalia </w:t>
            </w:r>
            <w:r w:rsidRPr="004A7D43">
              <w:rPr>
                <w:rFonts w:eastAsia="Calibri"/>
                <w:sz w:val="24"/>
                <w:szCs w:val="24"/>
              </w:rPr>
              <w:t>Halės turgavietė</w:t>
            </w:r>
            <w:r>
              <w:rPr>
                <w:rFonts w:eastAsia="Calibri"/>
                <w:sz w:val="24"/>
                <w:szCs w:val="24"/>
              </w:rPr>
              <w:t>s</w:t>
            </w:r>
            <w:r w:rsidRPr="004A7D43">
              <w:rPr>
                <w:rFonts w:eastAsia="Calibri"/>
                <w:sz w:val="24"/>
                <w:szCs w:val="24"/>
              </w:rPr>
              <w:t>, senamiestis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4.</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PK11</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 xml:space="preserve">J. Basanavičiaus g. 27/K.Kalinausko g. </w:t>
            </w:r>
          </w:p>
        </w:tc>
        <w:tc>
          <w:tcPr>
            <w:tcW w:w="5103" w:type="dxa"/>
          </w:tcPr>
          <w:p w:rsidR="00FC36B8" w:rsidRPr="00DB4389" w:rsidRDefault="00FC36B8" w:rsidP="004271B4">
            <w:pPr>
              <w:jc w:val="center"/>
              <w:rPr>
                <w:sz w:val="24"/>
                <w:szCs w:val="24"/>
              </w:rPr>
            </w:pPr>
            <w:r w:rsidRPr="004A7D43">
              <w:rPr>
                <w:rFonts w:eastAsia="Calibri"/>
                <w:sz w:val="24"/>
                <w:szCs w:val="24"/>
              </w:rPr>
              <w:t>Prie cerkvės, sankryža su Algirdo g.</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5.</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PK16</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Laisvės pr. 29/L. Asanavičiūtės g. 27A</w:t>
            </w:r>
          </w:p>
        </w:tc>
        <w:tc>
          <w:tcPr>
            <w:tcW w:w="5103" w:type="dxa"/>
          </w:tcPr>
          <w:p w:rsidR="00FC36B8" w:rsidRPr="00DB4389" w:rsidRDefault="00FC36B8" w:rsidP="004271B4">
            <w:pPr>
              <w:jc w:val="center"/>
              <w:rPr>
                <w:sz w:val="24"/>
                <w:szCs w:val="24"/>
              </w:rPr>
            </w:pPr>
            <w:r>
              <w:rPr>
                <w:rFonts w:eastAsia="Calibri"/>
                <w:sz w:val="24"/>
                <w:szCs w:val="24"/>
              </w:rPr>
              <w:t xml:space="preserve">šalia </w:t>
            </w:r>
            <w:r w:rsidRPr="004A7D43">
              <w:rPr>
                <w:rFonts w:eastAsia="Calibri"/>
                <w:sz w:val="24"/>
                <w:szCs w:val="24"/>
              </w:rPr>
              <w:t>5 poliklinik</w:t>
            </w:r>
            <w:r>
              <w:rPr>
                <w:rFonts w:eastAsia="Calibri"/>
                <w:sz w:val="24"/>
                <w:szCs w:val="24"/>
              </w:rPr>
              <w:t>os</w:t>
            </w:r>
            <w:r w:rsidRPr="004A7D43">
              <w:rPr>
                <w:rFonts w:eastAsia="Calibri"/>
                <w:sz w:val="24"/>
                <w:szCs w:val="24"/>
              </w:rPr>
              <w:t xml:space="preserve">, PC </w:t>
            </w:r>
            <w:proofErr w:type="spellStart"/>
            <w:r w:rsidRPr="004A7D43">
              <w:rPr>
                <w:rFonts w:eastAsia="Calibri"/>
                <w:sz w:val="24"/>
                <w:szCs w:val="24"/>
              </w:rPr>
              <w:t>Norfa</w:t>
            </w:r>
            <w:proofErr w:type="spellEnd"/>
            <w:r w:rsidRPr="004A7D43">
              <w:rPr>
                <w:rFonts w:eastAsia="Calibri"/>
                <w:sz w:val="24"/>
                <w:szCs w:val="24"/>
              </w:rPr>
              <w:t>, turgavietė</w:t>
            </w:r>
            <w:r>
              <w:rPr>
                <w:rFonts w:eastAsia="Calibri"/>
                <w:sz w:val="24"/>
                <w:szCs w:val="24"/>
              </w:rPr>
              <w:t>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6.</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PK17</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Kovo 11-osios g.</w:t>
            </w:r>
          </w:p>
        </w:tc>
        <w:tc>
          <w:tcPr>
            <w:tcW w:w="5103" w:type="dxa"/>
          </w:tcPr>
          <w:p w:rsidR="00FC36B8" w:rsidRPr="00DB4389" w:rsidRDefault="00FC36B8" w:rsidP="004271B4">
            <w:pPr>
              <w:jc w:val="center"/>
              <w:rPr>
                <w:sz w:val="24"/>
                <w:szCs w:val="24"/>
              </w:rPr>
            </w:pPr>
            <w:r w:rsidRPr="00DB4389">
              <w:rPr>
                <w:rFonts w:eastAsia="Calibri"/>
                <w:sz w:val="24"/>
                <w:szCs w:val="24"/>
              </w:rPr>
              <w:t>šalia PC IKI, Grigiškės, gyvenvietės centras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7.</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 xml:space="preserve">PK18  </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Šiltnamių g.</w:t>
            </w:r>
          </w:p>
        </w:tc>
        <w:tc>
          <w:tcPr>
            <w:tcW w:w="5103" w:type="dxa"/>
          </w:tcPr>
          <w:p w:rsidR="00FC36B8" w:rsidRPr="00DB4389" w:rsidRDefault="00FC36B8" w:rsidP="004271B4">
            <w:pPr>
              <w:jc w:val="center"/>
              <w:rPr>
                <w:sz w:val="24"/>
                <w:szCs w:val="24"/>
              </w:rPr>
            </w:pPr>
            <w:r w:rsidRPr="00DB4389">
              <w:rPr>
                <w:rFonts w:eastAsia="Calibri"/>
                <w:sz w:val="24"/>
                <w:szCs w:val="24"/>
              </w:rPr>
              <w:t>šalia Greitosios pagalbos ligoninės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8.</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 xml:space="preserve">PK19  </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Parodų g.</w:t>
            </w:r>
          </w:p>
        </w:tc>
        <w:tc>
          <w:tcPr>
            <w:tcW w:w="5103" w:type="dxa"/>
          </w:tcPr>
          <w:p w:rsidR="00FC36B8" w:rsidRPr="00DB4389" w:rsidRDefault="00FC36B8" w:rsidP="004271B4">
            <w:pPr>
              <w:jc w:val="center"/>
              <w:rPr>
                <w:sz w:val="24"/>
                <w:szCs w:val="24"/>
              </w:rPr>
            </w:pPr>
            <w:r w:rsidRPr="00DB4389">
              <w:rPr>
                <w:rFonts w:eastAsia="Calibri"/>
                <w:sz w:val="24"/>
                <w:szCs w:val="24"/>
              </w:rPr>
              <w:t>šalia Parodų rūmų, Litexpo</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9.</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PK20</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Titnago g. 13</w:t>
            </w:r>
          </w:p>
        </w:tc>
        <w:tc>
          <w:tcPr>
            <w:tcW w:w="5103" w:type="dxa"/>
          </w:tcPr>
          <w:p w:rsidR="00FC36B8" w:rsidRPr="00DB4389" w:rsidRDefault="00FC36B8" w:rsidP="004271B4">
            <w:pPr>
              <w:jc w:val="center"/>
              <w:rPr>
                <w:sz w:val="24"/>
                <w:szCs w:val="24"/>
              </w:rPr>
            </w:pPr>
            <w:r>
              <w:rPr>
                <w:sz w:val="24"/>
                <w:szCs w:val="24"/>
              </w:rPr>
              <w:t>šalia Titnago g. 6</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10.</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PK22</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Laisvės pr. 140</w:t>
            </w:r>
          </w:p>
        </w:tc>
        <w:tc>
          <w:tcPr>
            <w:tcW w:w="5103" w:type="dxa"/>
          </w:tcPr>
          <w:p w:rsidR="00FC36B8" w:rsidRPr="00DB4389" w:rsidRDefault="00FC36B8" w:rsidP="004271B4">
            <w:pPr>
              <w:jc w:val="center"/>
              <w:rPr>
                <w:sz w:val="24"/>
                <w:szCs w:val="24"/>
              </w:rPr>
            </w:pPr>
            <w:r w:rsidRPr="00DB4389">
              <w:rPr>
                <w:sz w:val="24"/>
                <w:szCs w:val="24"/>
              </w:rPr>
              <w:t xml:space="preserve">šalia </w:t>
            </w:r>
            <w:r w:rsidRPr="00DB4389">
              <w:rPr>
                <w:rFonts w:eastAsia="Calibri"/>
                <w:sz w:val="24"/>
                <w:szCs w:val="24"/>
              </w:rPr>
              <w:t>esamo VT žiedo</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11.</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 xml:space="preserve">PK28  </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Vydūno ir Karaliaučiaus gatvių sankryža</w:t>
            </w:r>
          </w:p>
        </w:tc>
        <w:tc>
          <w:tcPr>
            <w:tcW w:w="5103" w:type="dxa"/>
          </w:tcPr>
          <w:p w:rsidR="00FC36B8" w:rsidRPr="00DB4389" w:rsidRDefault="00FC36B8" w:rsidP="004271B4">
            <w:pPr>
              <w:jc w:val="center"/>
              <w:rPr>
                <w:sz w:val="24"/>
                <w:szCs w:val="24"/>
              </w:rPr>
            </w:pPr>
            <w:r w:rsidRPr="004A7D43">
              <w:rPr>
                <w:rFonts w:eastAsia="Calibri"/>
                <w:sz w:val="24"/>
                <w:szCs w:val="24"/>
              </w:rPr>
              <w:t>Sudervės kelias,</w:t>
            </w:r>
            <w:r>
              <w:rPr>
                <w:rFonts w:eastAsia="Calibri"/>
                <w:sz w:val="24"/>
                <w:szCs w:val="24"/>
              </w:rPr>
              <w:t xml:space="preserve"> šalia</w:t>
            </w:r>
            <w:r w:rsidRPr="004A7D43">
              <w:rPr>
                <w:rFonts w:eastAsia="Calibri"/>
                <w:sz w:val="24"/>
                <w:szCs w:val="24"/>
              </w:rPr>
              <w:t xml:space="preserve"> PC Maxima</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12.</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 xml:space="preserve">PK29  </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Pilaitės g. 13</w:t>
            </w:r>
          </w:p>
        </w:tc>
        <w:tc>
          <w:tcPr>
            <w:tcW w:w="5103" w:type="dxa"/>
          </w:tcPr>
          <w:p w:rsidR="00FC36B8" w:rsidRPr="00DB4389" w:rsidRDefault="00FC36B8" w:rsidP="004271B4">
            <w:pPr>
              <w:jc w:val="center"/>
              <w:rPr>
                <w:sz w:val="24"/>
                <w:szCs w:val="24"/>
              </w:rPr>
            </w:pPr>
            <w:r w:rsidRPr="004A7D43">
              <w:rPr>
                <w:rFonts w:eastAsia="Calibri"/>
                <w:sz w:val="24"/>
                <w:szCs w:val="24"/>
              </w:rPr>
              <w:t>Pilaitės-Vakarinio aplinkkelio sankryža</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13.</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PK30</w:t>
            </w:r>
          </w:p>
        </w:tc>
        <w:tc>
          <w:tcPr>
            <w:tcW w:w="2551" w:type="dxa"/>
          </w:tcPr>
          <w:p w:rsidR="00FC36B8" w:rsidRPr="00DB4389" w:rsidRDefault="00FC36B8" w:rsidP="004271B4">
            <w:pPr>
              <w:contextualSpacing/>
              <w:rPr>
                <w:rFonts w:eastAsia="Calibri"/>
                <w:sz w:val="24"/>
                <w:szCs w:val="24"/>
              </w:rPr>
            </w:pPr>
            <w:proofErr w:type="spellStart"/>
            <w:r w:rsidRPr="00DB4389">
              <w:rPr>
                <w:rFonts w:eastAsia="Calibri"/>
                <w:sz w:val="24"/>
                <w:szCs w:val="24"/>
              </w:rPr>
              <w:t>Rūdninkų</w:t>
            </w:r>
            <w:proofErr w:type="spellEnd"/>
            <w:r w:rsidRPr="00DB4389">
              <w:rPr>
                <w:rFonts w:eastAsia="Calibri"/>
                <w:sz w:val="24"/>
                <w:szCs w:val="24"/>
              </w:rPr>
              <w:t xml:space="preserve"> g. skveras</w:t>
            </w:r>
          </w:p>
        </w:tc>
        <w:tc>
          <w:tcPr>
            <w:tcW w:w="5103" w:type="dxa"/>
          </w:tcPr>
          <w:p w:rsidR="00FC36B8" w:rsidRPr="00DB4389" w:rsidRDefault="00FC36B8" w:rsidP="004271B4">
            <w:pPr>
              <w:jc w:val="center"/>
              <w:rPr>
                <w:sz w:val="24"/>
                <w:szCs w:val="24"/>
              </w:rPr>
            </w:pPr>
            <w:proofErr w:type="spellStart"/>
            <w:r w:rsidRPr="004A7D43">
              <w:rPr>
                <w:rFonts w:eastAsia="Calibri"/>
                <w:sz w:val="24"/>
                <w:szCs w:val="24"/>
              </w:rPr>
              <w:t>Rūdninkų</w:t>
            </w:r>
            <w:proofErr w:type="spellEnd"/>
            <w:r>
              <w:rPr>
                <w:rFonts w:eastAsia="Calibri"/>
                <w:sz w:val="24"/>
                <w:szCs w:val="24"/>
              </w:rPr>
              <w:t xml:space="preserve"> – </w:t>
            </w:r>
            <w:r w:rsidRPr="004A7D43">
              <w:rPr>
                <w:rFonts w:eastAsia="Calibri"/>
                <w:sz w:val="24"/>
                <w:szCs w:val="24"/>
              </w:rPr>
              <w:t>Ligoninės g. sankr</w:t>
            </w:r>
            <w:r>
              <w:rPr>
                <w:rFonts w:eastAsia="Calibri"/>
                <w:sz w:val="24"/>
                <w:szCs w:val="24"/>
              </w:rPr>
              <w:t>yžos</w:t>
            </w:r>
            <w:r w:rsidRPr="004A7D43">
              <w:rPr>
                <w:rFonts w:eastAsia="Calibri"/>
                <w:sz w:val="24"/>
                <w:szCs w:val="24"/>
              </w:rPr>
              <w:t xml:space="preserve"> aikštelė</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14.</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PK36</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Savanorių pr. 1</w:t>
            </w:r>
          </w:p>
        </w:tc>
        <w:tc>
          <w:tcPr>
            <w:tcW w:w="5103" w:type="dxa"/>
          </w:tcPr>
          <w:p w:rsidR="00FC36B8" w:rsidRPr="00DB4389" w:rsidRDefault="00FC36B8" w:rsidP="004271B4">
            <w:pPr>
              <w:jc w:val="center"/>
              <w:rPr>
                <w:sz w:val="24"/>
                <w:szCs w:val="24"/>
              </w:rPr>
            </w:pPr>
            <w:r>
              <w:rPr>
                <w:rFonts w:eastAsia="Calibri"/>
                <w:sz w:val="24"/>
                <w:szCs w:val="24"/>
              </w:rPr>
              <w:t>šalia</w:t>
            </w:r>
            <w:r w:rsidRPr="004A7D43">
              <w:rPr>
                <w:rFonts w:eastAsia="Calibri"/>
                <w:sz w:val="24"/>
                <w:szCs w:val="24"/>
              </w:rPr>
              <w:t xml:space="preserve"> PPC </w:t>
            </w:r>
            <w:proofErr w:type="spellStart"/>
            <w:r w:rsidRPr="004A7D43">
              <w:rPr>
                <w:rFonts w:eastAsia="Calibri"/>
                <w:sz w:val="24"/>
                <w:szCs w:val="24"/>
              </w:rPr>
              <w:t>Helios</w:t>
            </w:r>
            <w:proofErr w:type="spellEnd"/>
            <w:r w:rsidRPr="004A7D43">
              <w:rPr>
                <w:rFonts w:eastAsia="Calibri"/>
                <w:sz w:val="24"/>
                <w:szCs w:val="24"/>
              </w:rPr>
              <w:t xml:space="preserve"> </w:t>
            </w:r>
            <w:proofErr w:type="spellStart"/>
            <w:r w:rsidRPr="004A7D43">
              <w:rPr>
                <w:rFonts w:eastAsia="Calibri"/>
                <w:sz w:val="24"/>
                <w:szCs w:val="24"/>
              </w:rPr>
              <w:t>City</w:t>
            </w:r>
            <w:proofErr w:type="spellEnd"/>
            <w:r>
              <w:rPr>
                <w:rFonts w:eastAsia="Calibri"/>
                <w:sz w:val="24"/>
                <w:szCs w:val="24"/>
              </w:rPr>
              <w:t xml:space="preserve"> </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15.</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PK38</w:t>
            </w:r>
          </w:p>
        </w:tc>
        <w:tc>
          <w:tcPr>
            <w:tcW w:w="2551" w:type="dxa"/>
          </w:tcPr>
          <w:p w:rsidR="00FC36B8" w:rsidRPr="00DB4389" w:rsidRDefault="00FC36B8" w:rsidP="004271B4">
            <w:pPr>
              <w:rPr>
                <w:rFonts w:eastAsia="Calibri"/>
                <w:sz w:val="24"/>
                <w:szCs w:val="24"/>
              </w:rPr>
            </w:pPr>
            <w:r w:rsidRPr="00DB4389">
              <w:rPr>
                <w:rFonts w:eastAsia="Calibri"/>
                <w:sz w:val="24"/>
                <w:szCs w:val="24"/>
              </w:rPr>
              <w:t>A. Goštauto g. 40</w:t>
            </w:r>
          </w:p>
        </w:tc>
        <w:tc>
          <w:tcPr>
            <w:tcW w:w="5103" w:type="dxa"/>
          </w:tcPr>
          <w:p w:rsidR="00FC36B8" w:rsidRPr="00DB4389" w:rsidRDefault="00FC36B8" w:rsidP="004271B4">
            <w:pPr>
              <w:jc w:val="center"/>
              <w:rPr>
                <w:sz w:val="24"/>
                <w:szCs w:val="24"/>
              </w:rPr>
            </w:pPr>
            <w:r w:rsidRPr="004A7D43">
              <w:rPr>
                <w:rFonts w:eastAsia="Calibri"/>
                <w:sz w:val="24"/>
                <w:szCs w:val="24"/>
              </w:rPr>
              <w:t>Verslo trikampis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16.</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PK42</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Laisvės pr. 58</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Spaudos rūm</w:t>
            </w:r>
            <w:r>
              <w:rPr>
                <w:rFonts w:eastAsia="Calibri"/>
                <w:sz w:val="24"/>
                <w:szCs w:val="24"/>
              </w:rPr>
              <w:t>ų</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17.</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PK43</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Laisvės pr. 40</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PC Mada, PC Pasidaryk Pats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18.</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PK50</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Geležinio Vilko g.</w:t>
            </w:r>
          </w:p>
        </w:tc>
        <w:tc>
          <w:tcPr>
            <w:tcW w:w="5103" w:type="dxa"/>
          </w:tcPr>
          <w:p w:rsidR="00FC36B8" w:rsidRPr="00DB4389" w:rsidRDefault="00FC36B8" w:rsidP="004271B4">
            <w:pPr>
              <w:jc w:val="center"/>
              <w:rPr>
                <w:sz w:val="24"/>
                <w:szCs w:val="24"/>
              </w:rPr>
            </w:pPr>
            <w:r>
              <w:rPr>
                <w:sz w:val="24"/>
                <w:szCs w:val="24"/>
              </w:rPr>
              <w:t xml:space="preserve">šalia įvažiavimo į </w:t>
            </w:r>
            <w:r w:rsidRPr="004A7D43">
              <w:rPr>
                <w:rFonts w:eastAsia="Calibri"/>
                <w:sz w:val="24"/>
                <w:szCs w:val="24"/>
              </w:rPr>
              <w:t>Vingio park</w:t>
            </w:r>
            <w:r>
              <w:rPr>
                <w:rFonts w:eastAsia="Calibri"/>
                <w:sz w:val="24"/>
                <w:szCs w:val="24"/>
              </w:rPr>
              <w:t>ą</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19.</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PK53</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Erfurto g. 29</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PC Papartis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20.</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PK54</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L. Asanavičiūtės g. 11A</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VT žied</w:t>
            </w:r>
            <w:r>
              <w:rPr>
                <w:rFonts w:eastAsia="Calibri"/>
                <w:sz w:val="24"/>
                <w:szCs w:val="24"/>
              </w:rPr>
              <w:t>o</w:t>
            </w:r>
          </w:p>
        </w:tc>
      </w:tr>
    </w:tbl>
    <w:p w:rsidR="00E063D8" w:rsidRPr="0001447F" w:rsidRDefault="0001447F" w:rsidP="0001447F">
      <w:pPr>
        <w:ind w:firstLine="709"/>
        <w:jc w:val="both"/>
      </w:pPr>
      <w:r>
        <w:rPr>
          <w:sz w:val="24"/>
          <w:szCs w:val="24"/>
        </w:rPr>
        <w:lastRenderedPageBreak/>
        <w:t>3</w:t>
      </w:r>
      <w:r w:rsidR="00E063D8">
        <w:rPr>
          <w:sz w:val="24"/>
          <w:szCs w:val="24"/>
        </w:rPr>
        <w:t>.2.   </w:t>
      </w:r>
      <w:r w:rsidR="00FC36B8">
        <w:rPr>
          <w:sz w:val="24"/>
          <w:szCs w:val="24"/>
        </w:rPr>
        <w:t xml:space="preserve">II </w:t>
      </w:r>
      <w:r>
        <w:rPr>
          <w:sz w:val="24"/>
          <w:szCs w:val="24"/>
        </w:rPr>
        <w:t xml:space="preserve">elektromobilių krovos prieigų paketas, į kurį  įeina 20 kintamos srovės 22 </w:t>
      </w:r>
      <w:proofErr w:type="spellStart"/>
      <w:r>
        <w:rPr>
          <w:sz w:val="24"/>
          <w:szCs w:val="24"/>
        </w:rPr>
        <w:t>kw</w:t>
      </w:r>
      <w:proofErr w:type="spellEnd"/>
      <w:r>
        <w:rPr>
          <w:sz w:val="24"/>
          <w:szCs w:val="24"/>
        </w:rPr>
        <w:t xml:space="preserve"> galingumo elektromobilių krovos prieigų taškų, po dvi prieigas ir dvi laukimo vietas kiekviename taške, įrengiant jungtis tipo </w:t>
      </w:r>
      <w:proofErr w:type="spellStart"/>
      <w:r w:rsidRPr="00DB4389">
        <w:rPr>
          <w:sz w:val="24"/>
          <w:szCs w:val="24"/>
        </w:rPr>
        <w:t>Mode-3</w:t>
      </w:r>
      <w:proofErr w:type="spellEnd"/>
      <w:r w:rsidRPr="00DB4389">
        <w:rPr>
          <w:sz w:val="24"/>
          <w:szCs w:val="24"/>
        </w:rPr>
        <w:t xml:space="preserve"> ir </w:t>
      </w:r>
      <w:proofErr w:type="spellStart"/>
      <w:r w:rsidRPr="00DB4389">
        <w:rPr>
          <w:sz w:val="24"/>
          <w:szCs w:val="24"/>
        </w:rPr>
        <w:t>Type-2</w:t>
      </w:r>
      <w:r w:rsidR="00FC36B8">
        <w:rPr>
          <w:sz w:val="24"/>
          <w:szCs w:val="24"/>
        </w:rPr>
        <w:t>:</w:t>
      </w:r>
      <w:proofErr w:type="spellEnd"/>
    </w:p>
    <w:p w:rsidR="00552502" w:rsidRDefault="00552502" w:rsidP="0001447F">
      <w:pPr>
        <w:tabs>
          <w:tab w:val="left" w:pos="709"/>
        </w:tabs>
        <w:jc w:val="both"/>
      </w:pPr>
    </w:p>
    <w:tbl>
      <w:tblPr>
        <w:tblStyle w:val="TableGrid"/>
        <w:tblW w:w="9355" w:type="dxa"/>
        <w:tblInd w:w="534" w:type="dxa"/>
        <w:tblLook w:val="04A0" w:firstRow="1" w:lastRow="0" w:firstColumn="1" w:lastColumn="0" w:noHBand="0" w:noVBand="1"/>
      </w:tblPr>
      <w:tblGrid>
        <w:gridCol w:w="567"/>
        <w:gridCol w:w="1134"/>
        <w:gridCol w:w="2551"/>
        <w:gridCol w:w="5103"/>
      </w:tblGrid>
      <w:tr w:rsidR="00FC36B8" w:rsidRPr="00DB4389" w:rsidTr="00FC36B8">
        <w:tc>
          <w:tcPr>
            <w:tcW w:w="567" w:type="dxa"/>
          </w:tcPr>
          <w:p w:rsidR="00FC36B8" w:rsidRPr="00DB4389" w:rsidRDefault="00FC36B8" w:rsidP="004271B4">
            <w:pPr>
              <w:jc w:val="center"/>
              <w:rPr>
                <w:sz w:val="24"/>
                <w:szCs w:val="24"/>
              </w:rPr>
            </w:pPr>
            <w:r w:rsidRPr="00DB4389">
              <w:rPr>
                <w:sz w:val="24"/>
                <w:szCs w:val="24"/>
              </w:rPr>
              <w:t>Eil.</w:t>
            </w:r>
          </w:p>
          <w:p w:rsidR="00FC36B8" w:rsidRPr="00DB4389" w:rsidRDefault="00FC36B8" w:rsidP="004271B4">
            <w:pPr>
              <w:jc w:val="center"/>
              <w:rPr>
                <w:sz w:val="24"/>
                <w:szCs w:val="24"/>
              </w:rPr>
            </w:pPr>
            <w:r w:rsidRPr="00DB4389">
              <w:rPr>
                <w:sz w:val="24"/>
                <w:szCs w:val="24"/>
              </w:rPr>
              <w:t>Nr.</w:t>
            </w:r>
          </w:p>
        </w:tc>
        <w:tc>
          <w:tcPr>
            <w:tcW w:w="1134" w:type="dxa"/>
          </w:tcPr>
          <w:p w:rsidR="00FC36B8" w:rsidRPr="00DB4389" w:rsidRDefault="00FC36B8" w:rsidP="004271B4">
            <w:pPr>
              <w:jc w:val="center"/>
              <w:rPr>
                <w:sz w:val="24"/>
                <w:szCs w:val="24"/>
              </w:rPr>
            </w:pPr>
            <w:r w:rsidRPr="00DB4389">
              <w:rPr>
                <w:rFonts w:eastAsia="Calibri"/>
                <w:sz w:val="24"/>
                <w:szCs w:val="24"/>
              </w:rPr>
              <w:t>Indeksas schemoje</w:t>
            </w:r>
          </w:p>
        </w:tc>
        <w:tc>
          <w:tcPr>
            <w:tcW w:w="2551" w:type="dxa"/>
          </w:tcPr>
          <w:p w:rsidR="00FC36B8" w:rsidRPr="00DB4389" w:rsidRDefault="00FC36B8" w:rsidP="004271B4">
            <w:pPr>
              <w:jc w:val="center"/>
              <w:rPr>
                <w:sz w:val="24"/>
                <w:szCs w:val="24"/>
              </w:rPr>
            </w:pPr>
            <w:r w:rsidRPr="00DB4389">
              <w:rPr>
                <w:rFonts w:eastAsia="Calibri"/>
                <w:sz w:val="24"/>
                <w:szCs w:val="24"/>
              </w:rPr>
              <w:t>Įkrovimo prieigos taško vieta</w:t>
            </w:r>
          </w:p>
        </w:tc>
        <w:tc>
          <w:tcPr>
            <w:tcW w:w="5103" w:type="dxa"/>
          </w:tcPr>
          <w:p w:rsidR="00FC36B8" w:rsidRPr="00DB4389" w:rsidRDefault="00FC36B8" w:rsidP="004271B4">
            <w:pPr>
              <w:jc w:val="center"/>
              <w:rPr>
                <w:sz w:val="24"/>
                <w:szCs w:val="24"/>
              </w:rPr>
            </w:pPr>
            <w:r w:rsidRPr="00DB4389">
              <w:rPr>
                <w:sz w:val="24"/>
                <w:szCs w:val="24"/>
              </w:rPr>
              <w:t>Traukos objektai</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 xml:space="preserve">PK01 </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Ateities g. 91</w:t>
            </w:r>
          </w:p>
        </w:tc>
        <w:tc>
          <w:tcPr>
            <w:tcW w:w="5103" w:type="dxa"/>
          </w:tcPr>
          <w:p w:rsidR="00FC36B8" w:rsidRPr="00DB4389" w:rsidRDefault="00FC36B8" w:rsidP="004271B4">
            <w:pPr>
              <w:jc w:val="center"/>
              <w:rPr>
                <w:sz w:val="24"/>
                <w:szCs w:val="24"/>
              </w:rPr>
            </w:pPr>
            <w:r w:rsidRPr="00DB4389">
              <w:rPr>
                <w:sz w:val="24"/>
                <w:szCs w:val="24"/>
              </w:rPr>
              <w:t xml:space="preserve">šalia </w:t>
            </w:r>
            <w:r w:rsidRPr="00DB4389">
              <w:rPr>
                <w:rFonts w:eastAsia="Calibri"/>
                <w:sz w:val="24"/>
                <w:szCs w:val="24"/>
              </w:rPr>
              <w:t>galinio VT punkto ir PC Mandarinas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2.</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PK03</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Rinktinės g. 45</w:t>
            </w:r>
          </w:p>
        </w:tc>
        <w:tc>
          <w:tcPr>
            <w:tcW w:w="5103" w:type="dxa"/>
          </w:tcPr>
          <w:p w:rsidR="00FC36B8" w:rsidRPr="00DB4389" w:rsidRDefault="00FC36B8" w:rsidP="004271B4">
            <w:pPr>
              <w:jc w:val="center"/>
              <w:rPr>
                <w:sz w:val="24"/>
                <w:szCs w:val="24"/>
              </w:rPr>
            </w:pPr>
            <w:r w:rsidRPr="00547AAD">
              <w:rPr>
                <w:rFonts w:eastAsia="Calibri"/>
                <w:sz w:val="24"/>
                <w:szCs w:val="24"/>
              </w:rPr>
              <w:t>šalia Kalvarijų turgavietės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3.</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PK08</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Upės g.</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Vilniaus centrinė</w:t>
            </w:r>
            <w:r>
              <w:rPr>
                <w:rFonts w:eastAsia="Calibri"/>
                <w:sz w:val="24"/>
                <w:szCs w:val="24"/>
              </w:rPr>
              <w:t>s</w:t>
            </w:r>
            <w:r w:rsidRPr="004A7D43">
              <w:rPr>
                <w:rFonts w:eastAsia="Calibri"/>
                <w:sz w:val="24"/>
                <w:szCs w:val="24"/>
              </w:rPr>
              <w:t xml:space="preserve"> universalinė</w:t>
            </w:r>
            <w:r>
              <w:rPr>
                <w:rFonts w:eastAsia="Calibri"/>
                <w:sz w:val="24"/>
                <w:szCs w:val="24"/>
              </w:rPr>
              <w:t>s</w:t>
            </w:r>
            <w:r w:rsidRPr="004A7D43">
              <w:rPr>
                <w:rFonts w:eastAsia="Calibri"/>
                <w:sz w:val="24"/>
                <w:szCs w:val="24"/>
              </w:rPr>
              <w:t xml:space="preserve"> parduotuvė</w:t>
            </w:r>
            <w:r>
              <w:rPr>
                <w:rFonts w:eastAsia="Calibri"/>
                <w:sz w:val="24"/>
                <w:szCs w:val="24"/>
              </w:rPr>
              <w:t>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4.</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 xml:space="preserve">PK13  </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V. Gerulaičio g. 1</w:t>
            </w:r>
          </w:p>
        </w:tc>
        <w:tc>
          <w:tcPr>
            <w:tcW w:w="5103" w:type="dxa"/>
          </w:tcPr>
          <w:p w:rsidR="00FC36B8" w:rsidRPr="00DB4389" w:rsidRDefault="00FC36B8" w:rsidP="004271B4">
            <w:pPr>
              <w:jc w:val="center"/>
              <w:rPr>
                <w:sz w:val="24"/>
                <w:szCs w:val="24"/>
              </w:rPr>
            </w:pPr>
            <w:r w:rsidRPr="004A7D43">
              <w:rPr>
                <w:rFonts w:eastAsia="Calibri"/>
                <w:sz w:val="24"/>
                <w:szCs w:val="24"/>
              </w:rPr>
              <w:t>Pramogų parkas,</w:t>
            </w:r>
            <w:r>
              <w:rPr>
                <w:rFonts w:eastAsia="Calibri"/>
                <w:sz w:val="24"/>
                <w:szCs w:val="24"/>
              </w:rPr>
              <w:t xml:space="preserve"> šalia</w:t>
            </w:r>
            <w:r w:rsidRPr="004A7D43">
              <w:rPr>
                <w:rFonts w:eastAsia="Calibri"/>
                <w:sz w:val="24"/>
                <w:szCs w:val="24"/>
              </w:rPr>
              <w:t xml:space="preserve"> Siemens arena</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5.</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PK14</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Žalgirio g. 92</w:t>
            </w:r>
          </w:p>
        </w:tc>
        <w:tc>
          <w:tcPr>
            <w:tcW w:w="5103" w:type="dxa"/>
          </w:tcPr>
          <w:p w:rsidR="00FC36B8" w:rsidRPr="00DB4389" w:rsidRDefault="00FC36B8" w:rsidP="004271B4">
            <w:pPr>
              <w:jc w:val="center"/>
              <w:rPr>
                <w:sz w:val="24"/>
                <w:szCs w:val="24"/>
              </w:rPr>
            </w:pP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6.</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PK15</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Sėlių g. 54</w:t>
            </w:r>
          </w:p>
        </w:tc>
        <w:tc>
          <w:tcPr>
            <w:tcW w:w="5103" w:type="dxa"/>
          </w:tcPr>
          <w:p w:rsidR="00FC36B8" w:rsidRPr="00DB4389" w:rsidRDefault="00FC36B8" w:rsidP="004271B4">
            <w:pPr>
              <w:jc w:val="center"/>
              <w:rPr>
                <w:sz w:val="24"/>
                <w:szCs w:val="24"/>
              </w:rPr>
            </w:pPr>
            <w:r>
              <w:rPr>
                <w:rFonts w:eastAsia="Calibri"/>
                <w:sz w:val="24"/>
                <w:szCs w:val="24"/>
              </w:rPr>
              <w:t xml:space="preserve">šalia </w:t>
            </w:r>
            <w:r w:rsidRPr="004A7D43">
              <w:rPr>
                <w:rFonts w:eastAsia="Calibri"/>
                <w:sz w:val="24"/>
                <w:szCs w:val="24"/>
              </w:rPr>
              <w:t>Žvėryno VT žied</w:t>
            </w:r>
            <w:r>
              <w:rPr>
                <w:rFonts w:eastAsia="Calibri"/>
                <w:sz w:val="24"/>
                <w:szCs w:val="24"/>
              </w:rPr>
              <w:t>o</w:t>
            </w:r>
            <w:r w:rsidRPr="004A7D43">
              <w:rPr>
                <w:rFonts w:eastAsia="Calibri"/>
                <w:sz w:val="24"/>
                <w:szCs w:val="24"/>
              </w:rPr>
              <w:t>, PC IKI</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7.</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 xml:space="preserve">PK21  </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Justiniškių g. 35A</w:t>
            </w:r>
          </w:p>
        </w:tc>
        <w:tc>
          <w:tcPr>
            <w:tcW w:w="5103" w:type="dxa"/>
          </w:tcPr>
          <w:p w:rsidR="00FC36B8" w:rsidRPr="00DB4389" w:rsidRDefault="00FC36B8" w:rsidP="004271B4">
            <w:pPr>
              <w:jc w:val="center"/>
              <w:rPr>
                <w:sz w:val="24"/>
                <w:szCs w:val="24"/>
              </w:rPr>
            </w:pPr>
            <w:r w:rsidRPr="00DB4389">
              <w:rPr>
                <w:sz w:val="24"/>
                <w:szCs w:val="24"/>
              </w:rPr>
              <w:t xml:space="preserve">šalia </w:t>
            </w:r>
            <w:r w:rsidRPr="00DB4389">
              <w:rPr>
                <w:rFonts w:eastAsia="Calibri"/>
                <w:sz w:val="24"/>
                <w:szCs w:val="24"/>
              </w:rPr>
              <w:t>galinio VT punkto ir PC Maxima XX</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8.</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PK23</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 xml:space="preserve">Molėtų </w:t>
            </w:r>
            <w:proofErr w:type="spellStart"/>
            <w:r w:rsidRPr="00DB4389">
              <w:rPr>
                <w:rFonts w:eastAsia="Calibri"/>
                <w:sz w:val="24"/>
                <w:szCs w:val="24"/>
              </w:rPr>
              <w:t>pl</w:t>
            </w:r>
            <w:proofErr w:type="spellEnd"/>
            <w:r w:rsidRPr="00DB4389">
              <w:rPr>
                <w:rFonts w:eastAsia="Calibri"/>
                <w:sz w:val="24"/>
                <w:szCs w:val="24"/>
              </w:rPr>
              <w:t>. (miesto riba)</w:t>
            </w:r>
          </w:p>
        </w:tc>
        <w:tc>
          <w:tcPr>
            <w:tcW w:w="5103" w:type="dxa"/>
          </w:tcPr>
          <w:p w:rsidR="00FC36B8" w:rsidRPr="00DB4389" w:rsidRDefault="00FC36B8" w:rsidP="004271B4">
            <w:pPr>
              <w:jc w:val="center"/>
              <w:rPr>
                <w:sz w:val="24"/>
                <w:szCs w:val="24"/>
              </w:rPr>
            </w:pPr>
            <w:r w:rsidRPr="00DB4389">
              <w:rPr>
                <w:rFonts w:eastAsia="Calibri"/>
                <w:sz w:val="24"/>
                <w:szCs w:val="24"/>
              </w:rPr>
              <w:t xml:space="preserve">A14 kelias, </w:t>
            </w:r>
            <w:r w:rsidRPr="00DB4389">
              <w:rPr>
                <w:sz w:val="24"/>
                <w:szCs w:val="24"/>
              </w:rPr>
              <w:t>šalia</w:t>
            </w:r>
            <w:r w:rsidRPr="00DB4389">
              <w:rPr>
                <w:rFonts w:eastAsia="Calibri"/>
                <w:sz w:val="24"/>
                <w:szCs w:val="24"/>
              </w:rPr>
              <w:t xml:space="preserve"> PC IKI </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9.</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PK31</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Lvovo g.</w:t>
            </w:r>
          </w:p>
        </w:tc>
        <w:tc>
          <w:tcPr>
            <w:tcW w:w="5103" w:type="dxa"/>
          </w:tcPr>
          <w:p w:rsidR="00FC36B8" w:rsidRPr="00DB4389" w:rsidRDefault="00FC36B8" w:rsidP="004271B4">
            <w:pPr>
              <w:jc w:val="center"/>
              <w:rPr>
                <w:sz w:val="24"/>
                <w:szCs w:val="24"/>
              </w:rPr>
            </w:pPr>
            <w:r>
              <w:rPr>
                <w:sz w:val="24"/>
                <w:szCs w:val="24"/>
              </w:rPr>
              <w:t xml:space="preserve">šalia </w:t>
            </w:r>
            <w:r>
              <w:rPr>
                <w:rFonts w:eastAsia="Calibri"/>
                <w:sz w:val="24"/>
                <w:szCs w:val="24"/>
              </w:rPr>
              <w:t>v</w:t>
            </w:r>
            <w:r w:rsidRPr="004A7D43">
              <w:rPr>
                <w:rFonts w:eastAsia="Calibri"/>
                <w:sz w:val="24"/>
                <w:szCs w:val="24"/>
              </w:rPr>
              <w:t>erslo centr</w:t>
            </w:r>
            <w:r>
              <w:rPr>
                <w:rFonts w:eastAsia="Calibri"/>
                <w:sz w:val="24"/>
                <w:szCs w:val="24"/>
              </w:rPr>
              <w:t>o</w:t>
            </w:r>
            <w:r w:rsidRPr="004A7D43">
              <w:rPr>
                <w:rFonts w:eastAsia="Calibri"/>
                <w:sz w:val="24"/>
                <w:szCs w:val="24"/>
              </w:rPr>
              <w:t xml:space="preserve"> „</w:t>
            </w:r>
            <w:proofErr w:type="spellStart"/>
            <w:r w:rsidRPr="004A7D43">
              <w:rPr>
                <w:rFonts w:eastAsia="Calibri"/>
                <w:sz w:val="24"/>
                <w:szCs w:val="24"/>
              </w:rPr>
              <w:t>Quadrum</w:t>
            </w:r>
            <w:proofErr w:type="spellEnd"/>
            <w:r w:rsidRPr="004A7D43">
              <w:rPr>
                <w:rFonts w:eastAsia="Calibri"/>
                <w:sz w:val="24"/>
                <w:szCs w:val="24"/>
              </w:rPr>
              <w:t>“</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10.</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PK32</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Birutės g.</w:t>
            </w:r>
          </w:p>
        </w:tc>
        <w:tc>
          <w:tcPr>
            <w:tcW w:w="5103" w:type="dxa"/>
          </w:tcPr>
          <w:p w:rsidR="00FC36B8" w:rsidRPr="00DB4389" w:rsidRDefault="00FC36B8" w:rsidP="004271B4">
            <w:pPr>
              <w:jc w:val="center"/>
              <w:rPr>
                <w:sz w:val="24"/>
                <w:szCs w:val="24"/>
              </w:rPr>
            </w:pPr>
            <w:r>
              <w:rPr>
                <w:sz w:val="24"/>
                <w:szCs w:val="24"/>
              </w:rPr>
              <w:t xml:space="preserve">šalia </w:t>
            </w:r>
            <w:r>
              <w:rPr>
                <w:rFonts w:eastAsia="Calibri"/>
                <w:sz w:val="24"/>
                <w:szCs w:val="24"/>
              </w:rPr>
              <w:t>Vingio parko tilto</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11.</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PK33</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Upės g.</w:t>
            </w:r>
          </w:p>
        </w:tc>
        <w:tc>
          <w:tcPr>
            <w:tcW w:w="5103" w:type="dxa"/>
          </w:tcPr>
          <w:p w:rsidR="00FC36B8" w:rsidRPr="00DB4389" w:rsidRDefault="00FC36B8" w:rsidP="004271B4">
            <w:pPr>
              <w:jc w:val="center"/>
              <w:rPr>
                <w:sz w:val="24"/>
                <w:szCs w:val="24"/>
              </w:rPr>
            </w:pPr>
            <w:r>
              <w:rPr>
                <w:rFonts w:eastAsia="Calibri"/>
                <w:sz w:val="24"/>
                <w:szCs w:val="24"/>
              </w:rPr>
              <w:t>šalia v</w:t>
            </w:r>
            <w:r w:rsidRPr="004A7D43">
              <w:rPr>
                <w:rFonts w:eastAsia="Calibri"/>
                <w:sz w:val="24"/>
                <w:szCs w:val="24"/>
              </w:rPr>
              <w:t>erslo centr</w:t>
            </w:r>
            <w:r>
              <w:rPr>
                <w:rFonts w:eastAsia="Calibri"/>
                <w:sz w:val="24"/>
                <w:szCs w:val="24"/>
              </w:rPr>
              <w:t>o</w:t>
            </w:r>
            <w:r w:rsidRPr="004A7D43">
              <w:rPr>
                <w:rFonts w:eastAsia="Calibri"/>
                <w:sz w:val="24"/>
                <w:szCs w:val="24"/>
              </w:rPr>
              <w:t xml:space="preserve"> „</w:t>
            </w:r>
            <w:proofErr w:type="spellStart"/>
            <w:r w:rsidRPr="004A7D43">
              <w:rPr>
                <w:rFonts w:eastAsia="Calibri"/>
                <w:sz w:val="24"/>
                <w:szCs w:val="24"/>
              </w:rPr>
              <w:t>Barclays</w:t>
            </w:r>
            <w:proofErr w:type="spellEnd"/>
            <w:r w:rsidRPr="004A7D43">
              <w:rPr>
                <w:rFonts w:eastAsia="Calibri"/>
                <w:sz w:val="24"/>
                <w:szCs w:val="24"/>
              </w:rPr>
              <w:t>“</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12.</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PK34</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Saltoniškių g. 9</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PPC Panorama</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13.</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PK39</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Konstitucijos pr. 26A</w:t>
            </w:r>
          </w:p>
        </w:tc>
        <w:tc>
          <w:tcPr>
            <w:tcW w:w="5103" w:type="dxa"/>
          </w:tcPr>
          <w:p w:rsidR="00FC36B8" w:rsidRPr="00DB4389" w:rsidRDefault="00FC36B8" w:rsidP="004271B4">
            <w:pPr>
              <w:jc w:val="center"/>
              <w:rPr>
                <w:sz w:val="24"/>
                <w:szCs w:val="24"/>
              </w:rPr>
            </w:pPr>
            <w:r w:rsidRPr="004A7D43">
              <w:rPr>
                <w:rFonts w:eastAsia="Calibri"/>
                <w:sz w:val="24"/>
                <w:szCs w:val="24"/>
              </w:rPr>
              <w:t>Naujas centras,</w:t>
            </w:r>
            <w:r>
              <w:rPr>
                <w:rFonts w:eastAsia="Calibri"/>
                <w:sz w:val="24"/>
                <w:szCs w:val="24"/>
              </w:rPr>
              <w:t xml:space="preserve"> šalia</w:t>
            </w:r>
            <w:r w:rsidRPr="004A7D43">
              <w:rPr>
                <w:rFonts w:eastAsia="Calibri"/>
                <w:sz w:val="24"/>
                <w:szCs w:val="24"/>
              </w:rPr>
              <w:t xml:space="preserve"> </w:t>
            </w:r>
            <w:proofErr w:type="spellStart"/>
            <w:r w:rsidRPr="004A7D43">
              <w:rPr>
                <w:rFonts w:eastAsia="Calibri"/>
                <w:sz w:val="24"/>
                <w:szCs w:val="24"/>
              </w:rPr>
              <w:t>Forum</w:t>
            </w:r>
            <w:proofErr w:type="spellEnd"/>
            <w:r w:rsidRPr="004A7D43">
              <w:rPr>
                <w:rFonts w:eastAsia="Calibri"/>
                <w:sz w:val="24"/>
                <w:szCs w:val="24"/>
              </w:rPr>
              <w:t xml:space="preserve"> </w:t>
            </w:r>
            <w:proofErr w:type="spellStart"/>
            <w:r w:rsidRPr="004A7D43">
              <w:rPr>
                <w:rFonts w:eastAsia="Calibri"/>
                <w:sz w:val="24"/>
                <w:szCs w:val="24"/>
              </w:rPr>
              <w:t>palace</w:t>
            </w:r>
            <w:proofErr w:type="spellEnd"/>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14.</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PK44</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Šeškinės g. 59A</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VT žied</w:t>
            </w:r>
            <w:r>
              <w:rPr>
                <w:rFonts w:eastAsia="Calibri"/>
                <w:sz w:val="24"/>
                <w:szCs w:val="24"/>
              </w:rPr>
              <w:t>o</w:t>
            </w:r>
            <w:r w:rsidRPr="004A7D43">
              <w:rPr>
                <w:rFonts w:eastAsia="Calibri"/>
                <w:sz w:val="24"/>
                <w:szCs w:val="24"/>
              </w:rPr>
              <w:t xml:space="preserve">, </w:t>
            </w:r>
            <w:r>
              <w:rPr>
                <w:rFonts w:eastAsia="Calibri"/>
                <w:sz w:val="24"/>
                <w:szCs w:val="24"/>
              </w:rPr>
              <w:t>p</w:t>
            </w:r>
            <w:r w:rsidRPr="004A7D43">
              <w:rPr>
                <w:rFonts w:eastAsia="Calibri"/>
                <w:sz w:val="24"/>
                <w:szCs w:val="24"/>
              </w:rPr>
              <w:t>oliklinik</w:t>
            </w:r>
            <w:r>
              <w:rPr>
                <w:rFonts w:eastAsia="Calibri"/>
                <w:sz w:val="24"/>
                <w:szCs w:val="24"/>
              </w:rPr>
              <w:t>os</w:t>
            </w:r>
            <w:r w:rsidRPr="004A7D43">
              <w:rPr>
                <w:rFonts w:eastAsia="Calibri"/>
                <w:sz w:val="24"/>
                <w:szCs w:val="24"/>
              </w:rPr>
              <w:t xml:space="preserve">, </w:t>
            </w:r>
            <w:r>
              <w:rPr>
                <w:rFonts w:eastAsia="Calibri"/>
                <w:sz w:val="24"/>
                <w:szCs w:val="24"/>
              </w:rPr>
              <w:t>t</w:t>
            </w:r>
            <w:r w:rsidRPr="004A7D43">
              <w:rPr>
                <w:rFonts w:eastAsia="Calibri"/>
                <w:sz w:val="24"/>
                <w:szCs w:val="24"/>
              </w:rPr>
              <w:t>urgavietė</w:t>
            </w:r>
            <w:r>
              <w:rPr>
                <w:rFonts w:eastAsia="Calibri"/>
                <w:sz w:val="24"/>
                <w:szCs w:val="24"/>
              </w:rPr>
              <w:t>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15.</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PK45</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Rygos g. 13A</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 xml:space="preserve">PC </w:t>
            </w:r>
            <w:proofErr w:type="spellStart"/>
            <w:r w:rsidRPr="004A7D43">
              <w:rPr>
                <w:rFonts w:eastAsia="Calibri"/>
                <w:sz w:val="24"/>
                <w:szCs w:val="24"/>
              </w:rPr>
              <w:t>Rimi</w:t>
            </w:r>
            <w:proofErr w:type="spellEnd"/>
            <w:r w:rsidRPr="004A7D43">
              <w:rPr>
                <w:rFonts w:eastAsia="Calibri"/>
                <w:sz w:val="24"/>
                <w:szCs w:val="24"/>
              </w:rPr>
              <w:t>, Justinišk</w:t>
            </w:r>
            <w:r>
              <w:rPr>
                <w:rFonts w:eastAsia="Calibri"/>
                <w:sz w:val="24"/>
                <w:szCs w:val="24"/>
              </w:rPr>
              <w:t>ėse</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16.</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PK49</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Didlaukio g. 80</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PC IKI , Baltupi</w:t>
            </w:r>
            <w:r>
              <w:rPr>
                <w:rFonts w:eastAsia="Calibri"/>
                <w:sz w:val="24"/>
                <w:szCs w:val="24"/>
              </w:rPr>
              <w:t>uose</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17.</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PK55</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Žaliųjų Ežerų g. 138</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PC Maxima</w:t>
            </w:r>
            <w:r>
              <w:rPr>
                <w:rFonts w:eastAsia="Calibri"/>
                <w:sz w:val="24"/>
                <w:szCs w:val="24"/>
              </w:rPr>
              <w:t>, Balsiuose</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18.</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PK57</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Jeruzalės g. 2</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 xml:space="preserve">PC </w:t>
            </w:r>
            <w:proofErr w:type="spellStart"/>
            <w:r w:rsidRPr="004A7D43">
              <w:rPr>
                <w:rFonts w:eastAsia="Calibri"/>
                <w:sz w:val="24"/>
                <w:szCs w:val="24"/>
              </w:rPr>
              <w:t>Rimi</w:t>
            </w:r>
            <w:proofErr w:type="spellEnd"/>
            <w:r>
              <w:rPr>
                <w:rFonts w:eastAsia="Calibri"/>
                <w:sz w:val="24"/>
                <w:szCs w:val="24"/>
              </w:rPr>
              <w:t xml:space="preserve"> Jeruzalėje</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19.</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PK58</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Santariškių g.2</w:t>
            </w:r>
          </w:p>
        </w:tc>
        <w:tc>
          <w:tcPr>
            <w:tcW w:w="5103" w:type="dxa"/>
          </w:tcPr>
          <w:p w:rsidR="00FC36B8" w:rsidRPr="00DB4389" w:rsidRDefault="00FC36B8" w:rsidP="004271B4">
            <w:pPr>
              <w:jc w:val="center"/>
              <w:rPr>
                <w:sz w:val="24"/>
                <w:szCs w:val="24"/>
              </w:rPr>
            </w:pPr>
            <w:r>
              <w:rPr>
                <w:sz w:val="24"/>
                <w:szCs w:val="24"/>
              </w:rPr>
              <w:t xml:space="preserve">šalia </w:t>
            </w:r>
            <w:r>
              <w:rPr>
                <w:rFonts w:eastAsia="Calibri"/>
                <w:sz w:val="24"/>
                <w:szCs w:val="24"/>
              </w:rPr>
              <w:t>Santariškių klinikų</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20.</w:t>
            </w:r>
          </w:p>
        </w:tc>
        <w:tc>
          <w:tcPr>
            <w:tcW w:w="1134" w:type="dxa"/>
          </w:tcPr>
          <w:p w:rsidR="00FC36B8" w:rsidRPr="00DB4389" w:rsidDel="00B543D5" w:rsidRDefault="00FC36B8" w:rsidP="004271B4">
            <w:pPr>
              <w:contextualSpacing/>
              <w:jc w:val="center"/>
              <w:rPr>
                <w:rFonts w:eastAsia="Calibri"/>
                <w:sz w:val="24"/>
                <w:szCs w:val="24"/>
              </w:rPr>
            </w:pPr>
            <w:r w:rsidRPr="00DB4389">
              <w:rPr>
                <w:rFonts w:eastAsia="Calibri"/>
                <w:sz w:val="24"/>
                <w:szCs w:val="24"/>
              </w:rPr>
              <w:t>PK59</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 xml:space="preserve">Santariškių g. </w:t>
            </w:r>
          </w:p>
        </w:tc>
        <w:tc>
          <w:tcPr>
            <w:tcW w:w="5103" w:type="dxa"/>
          </w:tcPr>
          <w:p w:rsidR="00FC36B8" w:rsidRPr="00DB4389" w:rsidRDefault="00FC36B8" w:rsidP="004271B4">
            <w:pPr>
              <w:jc w:val="center"/>
              <w:rPr>
                <w:sz w:val="24"/>
                <w:szCs w:val="24"/>
              </w:rPr>
            </w:pPr>
            <w:r>
              <w:rPr>
                <w:sz w:val="24"/>
                <w:szCs w:val="24"/>
              </w:rPr>
              <w:t xml:space="preserve">šalia </w:t>
            </w:r>
            <w:r>
              <w:rPr>
                <w:rFonts w:eastAsia="Calibri"/>
                <w:sz w:val="24"/>
                <w:szCs w:val="24"/>
              </w:rPr>
              <w:t>VT žiedo prie Vaikų ligoninės</w:t>
            </w:r>
          </w:p>
        </w:tc>
      </w:tr>
    </w:tbl>
    <w:p w:rsidR="00E063D8" w:rsidRDefault="00E063D8" w:rsidP="00E063D8"/>
    <w:p w:rsidR="00FC36B8" w:rsidRDefault="0001447F" w:rsidP="00FC36B8">
      <w:pPr>
        <w:tabs>
          <w:tab w:val="left" w:pos="709"/>
        </w:tabs>
        <w:ind w:firstLine="720"/>
        <w:jc w:val="both"/>
        <w:rPr>
          <w:sz w:val="24"/>
          <w:szCs w:val="24"/>
        </w:rPr>
      </w:pPr>
      <w:r>
        <w:rPr>
          <w:sz w:val="24"/>
          <w:szCs w:val="24"/>
        </w:rPr>
        <w:t>3</w:t>
      </w:r>
      <w:r w:rsidR="00FC36B8">
        <w:rPr>
          <w:sz w:val="24"/>
          <w:szCs w:val="24"/>
        </w:rPr>
        <w:t xml:space="preserve">.3.   III </w:t>
      </w:r>
      <w:r>
        <w:rPr>
          <w:sz w:val="24"/>
          <w:szCs w:val="24"/>
        </w:rPr>
        <w:t xml:space="preserve">elektromobilių krovos prieigų paketas, į kurį  įeina 20 kintamos srovės 22 </w:t>
      </w:r>
      <w:proofErr w:type="spellStart"/>
      <w:r>
        <w:rPr>
          <w:sz w:val="24"/>
          <w:szCs w:val="24"/>
        </w:rPr>
        <w:t>kw</w:t>
      </w:r>
      <w:proofErr w:type="spellEnd"/>
      <w:r>
        <w:rPr>
          <w:sz w:val="24"/>
          <w:szCs w:val="24"/>
        </w:rPr>
        <w:t xml:space="preserve"> galingumo elektromobilių krovos prieigų taškų, po dvi prieigas ir dvi laukimo vietas kiekviename taške, įrengiant jungtis tipo </w:t>
      </w:r>
      <w:proofErr w:type="spellStart"/>
      <w:r w:rsidRPr="00DB4389">
        <w:rPr>
          <w:sz w:val="24"/>
          <w:szCs w:val="24"/>
        </w:rPr>
        <w:t>Mode-3</w:t>
      </w:r>
      <w:proofErr w:type="spellEnd"/>
      <w:r w:rsidRPr="00DB4389">
        <w:rPr>
          <w:sz w:val="24"/>
          <w:szCs w:val="24"/>
        </w:rPr>
        <w:t xml:space="preserve"> ir </w:t>
      </w:r>
      <w:proofErr w:type="spellStart"/>
      <w:r w:rsidRPr="00DB4389">
        <w:rPr>
          <w:sz w:val="24"/>
          <w:szCs w:val="24"/>
        </w:rPr>
        <w:t>Type-2</w:t>
      </w:r>
      <w:r w:rsidR="00FC36B8">
        <w:rPr>
          <w:sz w:val="24"/>
          <w:szCs w:val="24"/>
        </w:rPr>
        <w:t>:</w:t>
      </w:r>
      <w:proofErr w:type="spellEnd"/>
    </w:p>
    <w:p w:rsidR="00FC36B8" w:rsidRDefault="00FC36B8" w:rsidP="00FC36B8">
      <w:pPr>
        <w:tabs>
          <w:tab w:val="left" w:pos="709"/>
        </w:tabs>
        <w:ind w:firstLine="720"/>
        <w:jc w:val="both"/>
        <w:rPr>
          <w:sz w:val="24"/>
          <w:szCs w:val="24"/>
        </w:rPr>
      </w:pPr>
    </w:p>
    <w:tbl>
      <w:tblPr>
        <w:tblStyle w:val="TableGrid"/>
        <w:tblW w:w="9355" w:type="dxa"/>
        <w:tblInd w:w="534" w:type="dxa"/>
        <w:tblLook w:val="04A0" w:firstRow="1" w:lastRow="0" w:firstColumn="1" w:lastColumn="0" w:noHBand="0" w:noVBand="1"/>
      </w:tblPr>
      <w:tblGrid>
        <w:gridCol w:w="567"/>
        <w:gridCol w:w="1134"/>
        <w:gridCol w:w="2551"/>
        <w:gridCol w:w="5103"/>
      </w:tblGrid>
      <w:tr w:rsidR="00FC36B8" w:rsidRPr="00DB4389" w:rsidTr="00FC36B8">
        <w:tc>
          <w:tcPr>
            <w:tcW w:w="567" w:type="dxa"/>
          </w:tcPr>
          <w:p w:rsidR="00FC36B8" w:rsidRPr="00DB4389" w:rsidRDefault="00FC36B8" w:rsidP="004271B4">
            <w:pPr>
              <w:jc w:val="center"/>
              <w:rPr>
                <w:sz w:val="24"/>
                <w:szCs w:val="24"/>
              </w:rPr>
            </w:pPr>
            <w:r w:rsidRPr="00DB4389">
              <w:rPr>
                <w:sz w:val="24"/>
                <w:szCs w:val="24"/>
              </w:rPr>
              <w:t>Eil.</w:t>
            </w:r>
          </w:p>
          <w:p w:rsidR="00FC36B8" w:rsidRPr="00DB4389" w:rsidRDefault="00FC36B8" w:rsidP="004271B4">
            <w:pPr>
              <w:jc w:val="center"/>
              <w:rPr>
                <w:sz w:val="24"/>
                <w:szCs w:val="24"/>
              </w:rPr>
            </w:pPr>
            <w:r w:rsidRPr="00DB4389">
              <w:rPr>
                <w:sz w:val="24"/>
                <w:szCs w:val="24"/>
              </w:rPr>
              <w:t>Nr.</w:t>
            </w:r>
          </w:p>
        </w:tc>
        <w:tc>
          <w:tcPr>
            <w:tcW w:w="1134" w:type="dxa"/>
          </w:tcPr>
          <w:p w:rsidR="00FC36B8" w:rsidRPr="00DB4389" w:rsidRDefault="00FC36B8" w:rsidP="004271B4">
            <w:pPr>
              <w:jc w:val="center"/>
              <w:rPr>
                <w:sz w:val="24"/>
                <w:szCs w:val="24"/>
              </w:rPr>
            </w:pPr>
            <w:r w:rsidRPr="00DB4389">
              <w:rPr>
                <w:rFonts w:eastAsia="Calibri"/>
                <w:sz w:val="24"/>
                <w:szCs w:val="24"/>
              </w:rPr>
              <w:t>Indeksas schemoje</w:t>
            </w:r>
          </w:p>
        </w:tc>
        <w:tc>
          <w:tcPr>
            <w:tcW w:w="2551" w:type="dxa"/>
          </w:tcPr>
          <w:p w:rsidR="00FC36B8" w:rsidRPr="00DB4389" w:rsidRDefault="00FC36B8" w:rsidP="004271B4">
            <w:pPr>
              <w:jc w:val="center"/>
              <w:rPr>
                <w:sz w:val="24"/>
                <w:szCs w:val="24"/>
              </w:rPr>
            </w:pPr>
            <w:r w:rsidRPr="00DB4389">
              <w:rPr>
                <w:rFonts w:eastAsia="Calibri"/>
                <w:sz w:val="24"/>
                <w:szCs w:val="24"/>
              </w:rPr>
              <w:t>Įkrovimo prieigos taško vieta</w:t>
            </w:r>
          </w:p>
        </w:tc>
        <w:tc>
          <w:tcPr>
            <w:tcW w:w="5103" w:type="dxa"/>
          </w:tcPr>
          <w:p w:rsidR="00FC36B8" w:rsidRPr="00DB4389" w:rsidRDefault="00FC36B8" w:rsidP="004271B4">
            <w:pPr>
              <w:jc w:val="center"/>
              <w:rPr>
                <w:sz w:val="24"/>
                <w:szCs w:val="24"/>
              </w:rPr>
            </w:pPr>
            <w:r w:rsidRPr="00DB4389">
              <w:rPr>
                <w:sz w:val="24"/>
                <w:szCs w:val="24"/>
              </w:rPr>
              <w:t>Traukos objektai</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PK02</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 xml:space="preserve">Vilniaus g. </w:t>
            </w:r>
          </w:p>
        </w:tc>
        <w:tc>
          <w:tcPr>
            <w:tcW w:w="5103" w:type="dxa"/>
          </w:tcPr>
          <w:p w:rsidR="00FC36B8" w:rsidRPr="00DB4389" w:rsidRDefault="00FC36B8" w:rsidP="004271B4">
            <w:pPr>
              <w:jc w:val="center"/>
              <w:rPr>
                <w:sz w:val="24"/>
                <w:szCs w:val="24"/>
              </w:rPr>
            </w:pPr>
            <w:r w:rsidRPr="004A7D43">
              <w:rPr>
                <w:rFonts w:eastAsia="Calibri"/>
                <w:sz w:val="24"/>
                <w:szCs w:val="24"/>
              </w:rPr>
              <w:t>Vilniaus – Liejyklos sankryža, aikštelė</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2.</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PK06</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Maironio g. 2</w:t>
            </w:r>
          </w:p>
        </w:tc>
        <w:tc>
          <w:tcPr>
            <w:tcW w:w="5103" w:type="dxa"/>
          </w:tcPr>
          <w:p w:rsidR="00FC36B8" w:rsidRPr="00DB4389" w:rsidRDefault="00FC36B8" w:rsidP="004271B4">
            <w:pPr>
              <w:jc w:val="center"/>
              <w:rPr>
                <w:sz w:val="24"/>
                <w:szCs w:val="24"/>
              </w:rPr>
            </w:pPr>
            <w:r w:rsidRPr="004A7D43">
              <w:rPr>
                <w:rFonts w:eastAsia="Calibri"/>
                <w:sz w:val="24"/>
                <w:szCs w:val="24"/>
              </w:rPr>
              <w:t>Bernardinų sodas, Arkikatedra</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3.</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PK09</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Maironio g.</w:t>
            </w:r>
          </w:p>
        </w:tc>
        <w:tc>
          <w:tcPr>
            <w:tcW w:w="5103" w:type="dxa"/>
          </w:tcPr>
          <w:p w:rsidR="00FC36B8" w:rsidRPr="00DB4389" w:rsidRDefault="00FC36B8" w:rsidP="004271B4">
            <w:pPr>
              <w:jc w:val="center"/>
              <w:rPr>
                <w:sz w:val="24"/>
                <w:szCs w:val="24"/>
              </w:rPr>
            </w:pPr>
            <w:r w:rsidRPr="004A7D43">
              <w:rPr>
                <w:rFonts w:eastAsia="Calibri"/>
                <w:sz w:val="24"/>
                <w:szCs w:val="24"/>
              </w:rPr>
              <w:t>Maironio –</w:t>
            </w:r>
            <w:r>
              <w:rPr>
                <w:rFonts w:eastAsia="Calibri"/>
                <w:sz w:val="24"/>
                <w:szCs w:val="24"/>
              </w:rPr>
              <w:t xml:space="preserve"> </w:t>
            </w:r>
            <w:r w:rsidRPr="004A7D43">
              <w:rPr>
                <w:rFonts w:eastAsia="Calibri"/>
                <w:sz w:val="24"/>
                <w:szCs w:val="24"/>
              </w:rPr>
              <w:t>Kūdrų g. sankryžos aikštelė</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4.</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PK10</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Užupio g. skveras</w:t>
            </w:r>
          </w:p>
        </w:tc>
        <w:tc>
          <w:tcPr>
            <w:tcW w:w="5103" w:type="dxa"/>
          </w:tcPr>
          <w:p w:rsidR="00FC36B8" w:rsidRPr="00DB4389" w:rsidRDefault="00FC36B8" w:rsidP="004271B4">
            <w:pPr>
              <w:jc w:val="center"/>
              <w:rPr>
                <w:sz w:val="24"/>
                <w:szCs w:val="24"/>
              </w:rPr>
            </w:pPr>
            <w:r w:rsidRPr="004A7D43">
              <w:rPr>
                <w:rFonts w:eastAsia="Calibri"/>
                <w:sz w:val="24"/>
                <w:szCs w:val="24"/>
              </w:rPr>
              <w:t>Polocko –</w:t>
            </w:r>
            <w:r>
              <w:rPr>
                <w:rFonts w:eastAsia="Calibri"/>
                <w:sz w:val="24"/>
                <w:szCs w:val="24"/>
              </w:rPr>
              <w:t xml:space="preserve"> </w:t>
            </w:r>
            <w:r w:rsidRPr="004A7D43">
              <w:rPr>
                <w:rFonts w:eastAsia="Calibri"/>
                <w:sz w:val="24"/>
                <w:szCs w:val="24"/>
              </w:rPr>
              <w:t>Užupio g. sankryža</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5.</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PK12</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Antakalnio g. 26</w:t>
            </w:r>
          </w:p>
        </w:tc>
        <w:tc>
          <w:tcPr>
            <w:tcW w:w="5103" w:type="dxa"/>
          </w:tcPr>
          <w:p w:rsidR="00FC36B8" w:rsidRPr="00DB4389" w:rsidRDefault="00FC36B8" w:rsidP="004271B4">
            <w:pPr>
              <w:jc w:val="center"/>
              <w:rPr>
                <w:sz w:val="24"/>
                <w:szCs w:val="24"/>
              </w:rPr>
            </w:pPr>
            <w:r w:rsidRPr="004A7D43">
              <w:rPr>
                <w:rFonts w:eastAsia="Calibri"/>
                <w:sz w:val="24"/>
                <w:szCs w:val="24"/>
              </w:rPr>
              <w:t>Sapiegų technologijų parkas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6.</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 xml:space="preserve">PK24 </w:t>
            </w:r>
            <w:r>
              <w:rPr>
                <w:rFonts w:eastAsia="Calibri"/>
                <w:sz w:val="24"/>
                <w:szCs w:val="24"/>
              </w:rPr>
              <w:t xml:space="preserve"> </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F. Vaitkaus g.</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Tarptautini</w:t>
            </w:r>
            <w:r>
              <w:rPr>
                <w:rFonts w:eastAsia="Calibri"/>
                <w:sz w:val="24"/>
                <w:szCs w:val="24"/>
              </w:rPr>
              <w:t xml:space="preserve">o </w:t>
            </w:r>
            <w:r w:rsidRPr="004A7D43">
              <w:rPr>
                <w:rFonts w:eastAsia="Calibri"/>
                <w:sz w:val="24"/>
                <w:szCs w:val="24"/>
              </w:rPr>
              <w:t>oro uost</w:t>
            </w:r>
            <w:r>
              <w:rPr>
                <w:rFonts w:eastAsia="Calibri"/>
                <w:sz w:val="24"/>
                <w:szCs w:val="24"/>
              </w:rPr>
              <w:t>o</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7.</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PK25</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Saulėtekio al. 9</w:t>
            </w:r>
          </w:p>
        </w:tc>
        <w:tc>
          <w:tcPr>
            <w:tcW w:w="5103" w:type="dxa"/>
          </w:tcPr>
          <w:p w:rsidR="00FC36B8" w:rsidRPr="00DB4389" w:rsidRDefault="00FC36B8" w:rsidP="004271B4">
            <w:pPr>
              <w:jc w:val="center"/>
              <w:rPr>
                <w:sz w:val="24"/>
                <w:szCs w:val="24"/>
              </w:rPr>
            </w:pPr>
            <w:r w:rsidRPr="00DB4389">
              <w:rPr>
                <w:rFonts w:eastAsia="Calibri"/>
                <w:sz w:val="24"/>
                <w:szCs w:val="24"/>
              </w:rPr>
              <w:t>Studentų miestelis, Technologijų parkas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8.</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 xml:space="preserve">PK26 </w:t>
            </w:r>
            <w:r>
              <w:rPr>
                <w:rFonts w:eastAsia="Calibri"/>
                <w:sz w:val="24"/>
                <w:szCs w:val="24"/>
              </w:rPr>
              <w:t xml:space="preserve"> </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Saulėtekio al. 43</w:t>
            </w:r>
          </w:p>
        </w:tc>
        <w:tc>
          <w:tcPr>
            <w:tcW w:w="5103" w:type="dxa"/>
          </w:tcPr>
          <w:p w:rsidR="00FC36B8" w:rsidRPr="00DB4389" w:rsidRDefault="00FC36B8" w:rsidP="004271B4">
            <w:pPr>
              <w:jc w:val="center"/>
              <w:rPr>
                <w:sz w:val="24"/>
                <w:szCs w:val="24"/>
              </w:rPr>
            </w:pPr>
            <w:r>
              <w:rPr>
                <w:rFonts w:eastAsia="Calibri"/>
                <w:sz w:val="24"/>
                <w:szCs w:val="24"/>
              </w:rPr>
              <w:t>šalia g</w:t>
            </w:r>
            <w:r w:rsidRPr="004A7D43">
              <w:rPr>
                <w:rFonts w:eastAsia="Calibri"/>
                <w:sz w:val="24"/>
                <w:szCs w:val="24"/>
              </w:rPr>
              <w:t>alini</w:t>
            </w:r>
            <w:r>
              <w:rPr>
                <w:rFonts w:eastAsia="Calibri"/>
                <w:sz w:val="24"/>
                <w:szCs w:val="24"/>
              </w:rPr>
              <w:t>o</w:t>
            </w:r>
            <w:r w:rsidRPr="004A7D43">
              <w:rPr>
                <w:rFonts w:eastAsia="Calibri"/>
                <w:sz w:val="24"/>
                <w:szCs w:val="24"/>
              </w:rPr>
              <w:t xml:space="preserve"> VT žied</w:t>
            </w:r>
            <w:r>
              <w:rPr>
                <w:rFonts w:eastAsia="Calibri"/>
                <w:sz w:val="24"/>
                <w:szCs w:val="24"/>
              </w:rPr>
              <w:t>o</w:t>
            </w:r>
            <w:r w:rsidRPr="004A7D43">
              <w:rPr>
                <w:rFonts w:eastAsia="Calibri"/>
                <w:sz w:val="24"/>
                <w:szCs w:val="24"/>
              </w:rPr>
              <w:t>, Studentų miestelis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9.</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 xml:space="preserve">PK27 </w:t>
            </w:r>
            <w:r>
              <w:rPr>
                <w:rFonts w:eastAsia="Calibri"/>
                <w:sz w:val="24"/>
                <w:szCs w:val="24"/>
              </w:rPr>
              <w:t xml:space="preserve"> </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Tremtinių g. 2</w:t>
            </w:r>
          </w:p>
        </w:tc>
        <w:tc>
          <w:tcPr>
            <w:tcW w:w="5103" w:type="dxa"/>
          </w:tcPr>
          <w:p w:rsidR="00FC36B8" w:rsidRPr="00DB4389" w:rsidRDefault="00FC36B8" w:rsidP="004271B4">
            <w:pPr>
              <w:jc w:val="center"/>
              <w:rPr>
                <w:sz w:val="24"/>
                <w:szCs w:val="24"/>
              </w:rPr>
            </w:pPr>
            <w:r w:rsidRPr="004A7D43">
              <w:rPr>
                <w:rFonts w:eastAsia="Calibri"/>
                <w:sz w:val="24"/>
                <w:szCs w:val="24"/>
              </w:rPr>
              <w:t>Krašto kelias 103,</w:t>
            </w:r>
            <w:r>
              <w:rPr>
                <w:rFonts w:eastAsia="Calibri"/>
                <w:sz w:val="24"/>
                <w:szCs w:val="24"/>
              </w:rPr>
              <w:t xml:space="preserve"> šalia</w:t>
            </w:r>
            <w:r w:rsidRPr="004A7D43">
              <w:rPr>
                <w:rFonts w:eastAsia="Calibri"/>
                <w:sz w:val="24"/>
                <w:szCs w:val="24"/>
              </w:rPr>
              <w:t xml:space="preserve"> N.</w:t>
            </w:r>
            <w:r>
              <w:rPr>
                <w:rFonts w:eastAsia="Calibri"/>
                <w:sz w:val="24"/>
                <w:szCs w:val="24"/>
              </w:rPr>
              <w:t xml:space="preserve"> </w:t>
            </w:r>
            <w:r w:rsidRPr="004A7D43">
              <w:rPr>
                <w:rFonts w:eastAsia="Calibri"/>
                <w:sz w:val="24"/>
                <w:szCs w:val="24"/>
              </w:rPr>
              <w:t>Vilnios geležinkelio stotis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10.</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PK35</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Žirmūnų g. 2A</w:t>
            </w:r>
          </w:p>
        </w:tc>
        <w:tc>
          <w:tcPr>
            <w:tcW w:w="5103" w:type="dxa"/>
          </w:tcPr>
          <w:p w:rsidR="00FC36B8" w:rsidRPr="00DB4389" w:rsidRDefault="00FC36B8" w:rsidP="004271B4">
            <w:pPr>
              <w:jc w:val="center"/>
              <w:rPr>
                <w:sz w:val="24"/>
                <w:szCs w:val="24"/>
              </w:rPr>
            </w:pPr>
            <w:r w:rsidRPr="004A7D43">
              <w:rPr>
                <w:rFonts w:eastAsia="Calibri"/>
                <w:sz w:val="24"/>
                <w:szCs w:val="24"/>
              </w:rPr>
              <w:t>Žiedinė sankryža,</w:t>
            </w:r>
            <w:r>
              <w:rPr>
                <w:rFonts w:eastAsia="Calibri"/>
                <w:sz w:val="24"/>
                <w:szCs w:val="24"/>
              </w:rPr>
              <w:t xml:space="preserve"> šalia</w:t>
            </w:r>
            <w:r w:rsidRPr="004A7D43">
              <w:rPr>
                <w:rFonts w:eastAsia="Calibri"/>
                <w:sz w:val="24"/>
                <w:szCs w:val="24"/>
              </w:rPr>
              <w:t xml:space="preserve"> PC IKI</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11.</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PK37</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Pylimo g. 17</w:t>
            </w:r>
          </w:p>
        </w:tc>
        <w:tc>
          <w:tcPr>
            <w:tcW w:w="5103" w:type="dxa"/>
          </w:tcPr>
          <w:p w:rsidR="00FC36B8" w:rsidRPr="00DB4389" w:rsidRDefault="00FC36B8" w:rsidP="004271B4">
            <w:pPr>
              <w:jc w:val="center"/>
              <w:rPr>
                <w:sz w:val="24"/>
                <w:szCs w:val="24"/>
              </w:rPr>
            </w:pPr>
            <w:r w:rsidRPr="004A7D43">
              <w:rPr>
                <w:rFonts w:eastAsia="Calibri"/>
                <w:sz w:val="24"/>
                <w:szCs w:val="24"/>
              </w:rPr>
              <w:t>Trakų</w:t>
            </w:r>
            <w:r>
              <w:rPr>
                <w:rFonts w:eastAsia="Calibri"/>
                <w:sz w:val="24"/>
                <w:szCs w:val="24"/>
              </w:rPr>
              <w:t xml:space="preserve"> – </w:t>
            </w:r>
            <w:r w:rsidRPr="004A7D43">
              <w:rPr>
                <w:rFonts w:eastAsia="Calibri"/>
                <w:sz w:val="24"/>
                <w:szCs w:val="24"/>
              </w:rPr>
              <w:t>Pylimo g. sankryža,</w:t>
            </w:r>
            <w:r>
              <w:rPr>
                <w:rFonts w:eastAsia="Calibri"/>
                <w:sz w:val="24"/>
                <w:szCs w:val="24"/>
              </w:rPr>
              <w:t xml:space="preserve"> šalia</w:t>
            </w:r>
            <w:r w:rsidRPr="004A7D43">
              <w:rPr>
                <w:rFonts w:eastAsia="Calibri"/>
                <w:sz w:val="24"/>
                <w:szCs w:val="24"/>
              </w:rPr>
              <w:t xml:space="preserve"> PC IKI, VGTU</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12.</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PK40</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Gynėjų g. 2</w:t>
            </w:r>
          </w:p>
        </w:tc>
        <w:tc>
          <w:tcPr>
            <w:tcW w:w="5103" w:type="dxa"/>
          </w:tcPr>
          <w:p w:rsidR="00FC36B8" w:rsidRPr="00DB4389" w:rsidRDefault="00FC36B8" w:rsidP="004271B4">
            <w:pPr>
              <w:jc w:val="center"/>
              <w:rPr>
                <w:sz w:val="24"/>
                <w:szCs w:val="24"/>
              </w:rPr>
            </w:pPr>
            <w:r w:rsidRPr="00D71989">
              <w:rPr>
                <w:rFonts w:eastAsia="Calibri"/>
                <w:sz w:val="24"/>
                <w:szCs w:val="24"/>
              </w:rPr>
              <w:t>Gedimino – Gynėjų g. sankryža,</w:t>
            </w:r>
            <w:r>
              <w:rPr>
                <w:rFonts w:eastAsia="Calibri"/>
                <w:sz w:val="24"/>
                <w:szCs w:val="24"/>
              </w:rPr>
              <w:t xml:space="preserve"> šalia</w:t>
            </w:r>
            <w:r w:rsidRPr="00D71989">
              <w:rPr>
                <w:rFonts w:eastAsia="Calibri"/>
                <w:sz w:val="24"/>
                <w:szCs w:val="24"/>
              </w:rPr>
              <w:t xml:space="preserve"> Lietuvos</w:t>
            </w:r>
            <w:r>
              <w:rPr>
                <w:rFonts w:eastAsia="Calibri"/>
                <w:sz w:val="24"/>
                <w:szCs w:val="24"/>
              </w:rPr>
              <w:t xml:space="preserve"> Respublikos</w:t>
            </w:r>
            <w:r w:rsidRPr="00D71989">
              <w:rPr>
                <w:rFonts w:eastAsia="Calibri"/>
                <w:sz w:val="24"/>
                <w:szCs w:val="24"/>
              </w:rPr>
              <w:t xml:space="preserve"> Seim</w:t>
            </w:r>
            <w:r>
              <w:rPr>
                <w:rFonts w:eastAsia="Calibri"/>
                <w:sz w:val="24"/>
                <w:szCs w:val="24"/>
              </w:rPr>
              <w:t>o</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13.</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PK41</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Rotušės a.</w:t>
            </w:r>
          </w:p>
        </w:tc>
        <w:tc>
          <w:tcPr>
            <w:tcW w:w="5103" w:type="dxa"/>
          </w:tcPr>
          <w:p w:rsidR="00FC36B8" w:rsidRPr="00DB4389" w:rsidRDefault="00FC36B8" w:rsidP="004271B4">
            <w:pPr>
              <w:jc w:val="center"/>
              <w:rPr>
                <w:sz w:val="24"/>
                <w:szCs w:val="24"/>
              </w:rPr>
            </w:pPr>
            <w:r w:rsidRPr="004A7D43">
              <w:rPr>
                <w:rFonts w:eastAsia="Calibri"/>
                <w:sz w:val="24"/>
                <w:szCs w:val="24"/>
              </w:rPr>
              <w:t>Prie Rotušės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14.</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PK46</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Žirmūnų g. 70</w:t>
            </w:r>
          </w:p>
        </w:tc>
        <w:tc>
          <w:tcPr>
            <w:tcW w:w="5103" w:type="dxa"/>
          </w:tcPr>
          <w:p w:rsidR="00FC36B8" w:rsidRPr="00DB4389" w:rsidRDefault="00FC36B8" w:rsidP="004271B4">
            <w:pPr>
              <w:jc w:val="center"/>
              <w:rPr>
                <w:sz w:val="24"/>
                <w:szCs w:val="24"/>
              </w:rPr>
            </w:pPr>
            <w:r w:rsidRPr="004A7D43">
              <w:rPr>
                <w:rFonts w:eastAsia="Calibri"/>
                <w:sz w:val="24"/>
                <w:szCs w:val="24"/>
              </w:rPr>
              <w:t>Kareivių-Žirmūnų</w:t>
            </w:r>
            <w:r>
              <w:rPr>
                <w:rFonts w:eastAsia="Calibri"/>
                <w:sz w:val="24"/>
                <w:szCs w:val="24"/>
              </w:rPr>
              <w:t xml:space="preserve"> gatvių</w:t>
            </w:r>
            <w:r w:rsidRPr="004A7D43">
              <w:rPr>
                <w:rFonts w:eastAsia="Calibri"/>
                <w:sz w:val="24"/>
                <w:szCs w:val="24"/>
              </w:rPr>
              <w:t xml:space="preserve"> sankryža</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lastRenderedPageBreak/>
              <w:t>15.</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PK47</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P. Lukšio g. 34</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 xml:space="preserve">PC Banginis, PC </w:t>
            </w:r>
            <w:proofErr w:type="spellStart"/>
            <w:r w:rsidRPr="004A7D43">
              <w:rPr>
                <w:rFonts w:eastAsia="Calibri"/>
                <w:sz w:val="24"/>
                <w:szCs w:val="24"/>
              </w:rPr>
              <w:t>Rimi</w:t>
            </w:r>
            <w:proofErr w:type="spellEnd"/>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16.</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PK48</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Antakalnio g. 70</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Antakalnio klinik</w:t>
            </w:r>
            <w:r>
              <w:rPr>
                <w:rFonts w:eastAsia="Calibri"/>
                <w:sz w:val="24"/>
                <w:szCs w:val="24"/>
              </w:rPr>
              <w:t>ų</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17.</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PK51</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Dariaus ir Girėno g. 16</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VT žied</w:t>
            </w:r>
            <w:r>
              <w:rPr>
                <w:rFonts w:eastAsia="Calibri"/>
                <w:sz w:val="24"/>
                <w:szCs w:val="24"/>
              </w:rPr>
              <w:t xml:space="preserve">o </w:t>
            </w:r>
            <w:r w:rsidRPr="004A7D43">
              <w:rPr>
                <w:rFonts w:eastAsia="Calibri"/>
                <w:sz w:val="24"/>
                <w:szCs w:val="24"/>
              </w:rPr>
              <w:t>Naujinink</w:t>
            </w:r>
            <w:r>
              <w:rPr>
                <w:rFonts w:eastAsia="Calibri"/>
                <w:sz w:val="24"/>
                <w:szCs w:val="24"/>
              </w:rPr>
              <w:t>uose</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18.</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PK52</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Vikingų g. 1</w:t>
            </w:r>
          </w:p>
        </w:tc>
        <w:tc>
          <w:tcPr>
            <w:tcW w:w="5103" w:type="dxa"/>
          </w:tcPr>
          <w:p w:rsidR="00FC36B8" w:rsidRPr="00DB4389" w:rsidRDefault="00FC36B8" w:rsidP="004271B4">
            <w:pPr>
              <w:jc w:val="center"/>
              <w:rPr>
                <w:sz w:val="24"/>
                <w:szCs w:val="24"/>
              </w:rPr>
            </w:pPr>
            <w:r>
              <w:rPr>
                <w:sz w:val="24"/>
                <w:szCs w:val="24"/>
              </w:rPr>
              <w:t xml:space="preserve">šalia </w:t>
            </w:r>
            <w:r w:rsidRPr="004A7D43">
              <w:rPr>
                <w:rFonts w:eastAsia="Calibri"/>
                <w:sz w:val="24"/>
                <w:szCs w:val="24"/>
              </w:rPr>
              <w:t>PC IKEA, Pietinis greitkelis, Oro uostas</w:t>
            </w:r>
          </w:p>
        </w:tc>
      </w:tr>
      <w:tr w:rsidR="00FC36B8" w:rsidRPr="00DB4389" w:rsidTr="00FC36B8">
        <w:tc>
          <w:tcPr>
            <w:tcW w:w="567" w:type="dxa"/>
          </w:tcPr>
          <w:p w:rsidR="00FC36B8" w:rsidRPr="00DB4389" w:rsidRDefault="00FC36B8" w:rsidP="004271B4">
            <w:pPr>
              <w:jc w:val="center"/>
              <w:rPr>
                <w:sz w:val="24"/>
                <w:szCs w:val="24"/>
              </w:rPr>
            </w:pPr>
            <w:r w:rsidRPr="00DB4389">
              <w:rPr>
                <w:sz w:val="24"/>
                <w:szCs w:val="24"/>
              </w:rPr>
              <w:t>19.</w:t>
            </w:r>
          </w:p>
        </w:tc>
        <w:tc>
          <w:tcPr>
            <w:tcW w:w="1134" w:type="dxa"/>
          </w:tcPr>
          <w:p w:rsidR="00FC36B8" w:rsidRPr="00DB4389" w:rsidRDefault="00FC36B8" w:rsidP="004271B4">
            <w:pPr>
              <w:contextualSpacing/>
              <w:jc w:val="center"/>
              <w:rPr>
                <w:rFonts w:eastAsia="Calibri"/>
                <w:sz w:val="24"/>
                <w:szCs w:val="24"/>
              </w:rPr>
            </w:pPr>
            <w:r w:rsidRPr="00DB4389">
              <w:rPr>
                <w:rFonts w:eastAsia="Calibri"/>
                <w:sz w:val="24"/>
                <w:szCs w:val="24"/>
              </w:rPr>
              <w:t>PK56</w:t>
            </w:r>
          </w:p>
        </w:tc>
        <w:tc>
          <w:tcPr>
            <w:tcW w:w="2551" w:type="dxa"/>
          </w:tcPr>
          <w:p w:rsidR="00FC36B8" w:rsidRPr="00DB4389" w:rsidRDefault="00FC36B8" w:rsidP="004271B4">
            <w:pPr>
              <w:contextualSpacing/>
              <w:rPr>
                <w:rFonts w:eastAsia="Calibri"/>
                <w:sz w:val="24"/>
                <w:szCs w:val="24"/>
              </w:rPr>
            </w:pPr>
            <w:r w:rsidRPr="00DB4389">
              <w:rPr>
                <w:rFonts w:eastAsia="Calibri"/>
                <w:sz w:val="24"/>
                <w:szCs w:val="24"/>
              </w:rPr>
              <w:t>Juodasis kelias 35</w:t>
            </w:r>
          </w:p>
        </w:tc>
        <w:tc>
          <w:tcPr>
            <w:tcW w:w="5103" w:type="dxa"/>
          </w:tcPr>
          <w:p w:rsidR="00FC36B8" w:rsidRPr="00DB4389" w:rsidRDefault="00FC36B8" w:rsidP="004271B4">
            <w:pPr>
              <w:jc w:val="center"/>
              <w:rPr>
                <w:sz w:val="24"/>
                <w:szCs w:val="24"/>
              </w:rPr>
            </w:pPr>
            <w:r>
              <w:rPr>
                <w:sz w:val="24"/>
                <w:szCs w:val="24"/>
              </w:rPr>
              <w:t xml:space="preserve">šalia </w:t>
            </w:r>
            <w:r>
              <w:rPr>
                <w:rFonts w:eastAsia="Calibri"/>
                <w:sz w:val="24"/>
                <w:szCs w:val="24"/>
              </w:rPr>
              <w:t>PC Iki Pavilnyje</w:t>
            </w:r>
          </w:p>
        </w:tc>
      </w:tr>
    </w:tbl>
    <w:p w:rsidR="00FC36B8" w:rsidRDefault="00FC36B8" w:rsidP="00E063D8">
      <w:pPr>
        <w:ind w:firstLine="709"/>
        <w:jc w:val="both"/>
        <w:rPr>
          <w:sz w:val="24"/>
          <w:szCs w:val="24"/>
        </w:rPr>
      </w:pPr>
    </w:p>
    <w:p w:rsidR="00E063D8" w:rsidRDefault="00287E35" w:rsidP="00AC6BDD">
      <w:pPr>
        <w:spacing w:line="276" w:lineRule="auto"/>
        <w:ind w:firstLine="709"/>
        <w:jc w:val="both"/>
      </w:pPr>
      <w:r>
        <w:rPr>
          <w:sz w:val="24"/>
          <w:szCs w:val="24"/>
        </w:rPr>
        <w:t>4</w:t>
      </w:r>
      <w:r w:rsidR="00E063D8" w:rsidRPr="00AC6BDD">
        <w:rPr>
          <w:sz w:val="24"/>
          <w:szCs w:val="24"/>
        </w:rPr>
        <w:t>.   </w:t>
      </w:r>
      <w:r w:rsidR="00AC6BDD" w:rsidRPr="00AC6BDD">
        <w:rPr>
          <w:sz w:val="24"/>
          <w:szCs w:val="24"/>
        </w:rPr>
        <w:t>Šiame pirkime bus sudaryta sutartis dėl elektromobilių įkrovimo prieigų</w:t>
      </w:r>
      <w:r w:rsidR="00AC6BDD">
        <w:rPr>
          <w:sz w:val="24"/>
          <w:szCs w:val="24"/>
        </w:rPr>
        <w:t xml:space="preserve"> projektavimo,</w:t>
      </w:r>
      <w:r w:rsidR="00AC6BDD" w:rsidRPr="00AC6BDD">
        <w:rPr>
          <w:sz w:val="24"/>
          <w:szCs w:val="24"/>
        </w:rPr>
        <w:t xml:space="preserve"> įrengimo</w:t>
      </w:r>
      <w:r w:rsidR="00AC6BDD">
        <w:rPr>
          <w:sz w:val="24"/>
          <w:szCs w:val="24"/>
        </w:rPr>
        <w:t xml:space="preserve"> ir eksploatavimo elektromobilių krovos prieigų pakete </w:t>
      </w:r>
      <w:r w:rsidR="00AC6BDD" w:rsidRPr="00AC6BDD">
        <w:rPr>
          <w:sz w:val="24"/>
          <w:szCs w:val="24"/>
        </w:rPr>
        <w:t xml:space="preserve"> </w:t>
      </w:r>
      <w:r w:rsidR="00AC6BDD">
        <w:rPr>
          <w:sz w:val="24"/>
          <w:szCs w:val="24"/>
        </w:rPr>
        <w:t>nurodytuose taškuose.</w:t>
      </w:r>
      <w:r w:rsidR="00E063D8" w:rsidRPr="00AC6BDD">
        <w:rPr>
          <w:sz w:val="24"/>
          <w:szCs w:val="24"/>
        </w:rPr>
        <w:t> </w:t>
      </w:r>
      <w:r w:rsidR="00E063D8">
        <w:rPr>
          <w:sz w:val="24"/>
          <w:szCs w:val="24"/>
        </w:rPr>
        <w:t>        </w:t>
      </w:r>
    </w:p>
    <w:p w:rsidR="00E063D8" w:rsidRDefault="00287E35" w:rsidP="00AC6BDD">
      <w:pPr>
        <w:spacing w:line="276" w:lineRule="auto"/>
        <w:ind w:firstLine="720"/>
        <w:jc w:val="both"/>
      </w:pPr>
      <w:r>
        <w:rPr>
          <w:sz w:val="24"/>
          <w:szCs w:val="24"/>
        </w:rPr>
        <w:t>5</w:t>
      </w:r>
      <w:r w:rsidR="00E063D8">
        <w:rPr>
          <w:sz w:val="24"/>
          <w:szCs w:val="24"/>
        </w:rPr>
        <w:t>.   Paslaugos turės būti teikiamos laikantis Lietuvos Respublikos įstatymų</w:t>
      </w:r>
      <w:r w:rsidR="00AC6BDD">
        <w:rPr>
          <w:sz w:val="24"/>
          <w:szCs w:val="24"/>
        </w:rPr>
        <w:t xml:space="preserve"> </w:t>
      </w:r>
      <w:r w:rsidR="00E063D8">
        <w:rPr>
          <w:sz w:val="24"/>
          <w:szCs w:val="24"/>
        </w:rPr>
        <w:t xml:space="preserve">bei kitų teisės aktų, reglamentuojančių </w:t>
      </w:r>
      <w:r w:rsidR="00AC6BDD">
        <w:rPr>
          <w:sz w:val="24"/>
          <w:szCs w:val="24"/>
        </w:rPr>
        <w:t>elektromobilių krovos</w:t>
      </w:r>
      <w:r w:rsidR="00E063D8">
        <w:rPr>
          <w:sz w:val="24"/>
          <w:szCs w:val="24"/>
        </w:rPr>
        <w:t xml:space="preserve"> organizavimą, reikalavimų, įskaitant, bet neapsiribojant, Vilniaus miesto savivaldybės tarybos sprendimų, reglamentuojančių </w:t>
      </w:r>
      <w:r w:rsidR="00AC6BDD">
        <w:rPr>
          <w:sz w:val="24"/>
          <w:szCs w:val="24"/>
        </w:rPr>
        <w:t>elektromobilių krovos tvarką</w:t>
      </w:r>
      <w:r w:rsidR="00E063D8">
        <w:rPr>
          <w:sz w:val="24"/>
          <w:szCs w:val="24"/>
        </w:rPr>
        <w:t>.</w:t>
      </w:r>
    </w:p>
    <w:p w:rsidR="00E063D8" w:rsidRDefault="00287E35" w:rsidP="00AC6BDD">
      <w:pPr>
        <w:tabs>
          <w:tab w:val="left" w:pos="1134"/>
        </w:tabs>
        <w:spacing w:line="276" w:lineRule="auto"/>
        <w:ind w:firstLine="720"/>
        <w:jc w:val="both"/>
      </w:pPr>
      <w:r>
        <w:rPr>
          <w:sz w:val="24"/>
          <w:szCs w:val="24"/>
        </w:rPr>
        <w:t>6</w:t>
      </w:r>
      <w:r w:rsidR="00E063D8">
        <w:rPr>
          <w:sz w:val="24"/>
          <w:szCs w:val="24"/>
        </w:rPr>
        <w:t>.   Paslaugų  teikimo  pradžia  vis</w:t>
      </w:r>
      <w:r w:rsidR="00AC6BDD">
        <w:rPr>
          <w:sz w:val="24"/>
          <w:szCs w:val="24"/>
        </w:rPr>
        <w:t>uose</w:t>
      </w:r>
      <w:r w:rsidR="00E063D8">
        <w:rPr>
          <w:sz w:val="24"/>
          <w:szCs w:val="24"/>
        </w:rPr>
        <w:t xml:space="preserve">  </w:t>
      </w:r>
      <w:r w:rsidR="00AC6BDD">
        <w:rPr>
          <w:sz w:val="24"/>
          <w:szCs w:val="24"/>
        </w:rPr>
        <w:t>elektromobilių krovos prieigų paketuose nurodytuose taškuose</w:t>
      </w:r>
      <w:r w:rsidR="00E063D8">
        <w:rPr>
          <w:sz w:val="24"/>
          <w:szCs w:val="24"/>
        </w:rPr>
        <w:t xml:space="preserve"> numatoma  ne  vėliau  kaip  po </w:t>
      </w:r>
      <w:r w:rsidR="00AC6BDD">
        <w:rPr>
          <w:sz w:val="24"/>
          <w:szCs w:val="24"/>
        </w:rPr>
        <w:t>2</w:t>
      </w:r>
      <w:r w:rsidR="00E063D8">
        <w:rPr>
          <w:sz w:val="24"/>
          <w:szCs w:val="24"/>
        </w:rPr>
        <w:t>00 (</w:t>
      </w:r>
      <w:r w:rsidR="00AC6BDD">
        <w:rPr>
          <w:sz w:val="24"/>
          <w:szCs w:val="24"/>
        </w:rPr>
        <w:t>dvie</w:t>
      </w:r>
      <w:r w:rsidR="00E063D8">
        <w:rPr>
          <w:sz w:val="24"/>
          <w:szCs w:val="24"/>
        </w:rPr>
        <w:t xml:space="preserve">jų šimtų) kalendorinių dienų nuo sutarties pasirašymo datos. Tiksli data bus nustatyta sudarant Paslaugų sutartis su </w:t>
      </w:r>
      <w:r w:rsidR="00AC6BDD">
        <w:rPr>
          <w:sz w:val="24"/>
          <w:szCs w:val="24"/>
        </w:rPr>
        <w:t>operatoriais</w:t>
      </w:r>
      <w:r w:rsidR="00E063D8">
        <w:rPr>
          <w:sz w:val="24"/>
          <w:szCs w:val="24"/>
        </w:rPr>
        <w:t>, kurie bus pripažinti atitinkamos pirkimo objekto dalies nugalėtojais.  </w:t>
      </w:r>
    </w:p>
    <w:p w:rsidR="00E063D8" w:rsidRDefault="00287E35" w:rsidP="00AC6BDD">
      <w:pPr>
        <w:spacing w:line="276" w:lineRule="auto"/>
        <w:ind w:firstLine="720"/>
        <w:jc w:val="both"/>
      </w:pPr>
      <w:r>
        <w:rPr>
          <w:sz w:val="24"/>
          <w:szCs w:val="24"/>
        </w:rPr>
        <w:t>7</w:t>
      </w:r>
      <w:r w:rsidR="00E063D8">
        <w:rPr>
          <w:sz w:val="24"/>
          <w:szCs w:val="24"/>
        </w:rPr>
        <w:t xml:space="preserve">.  Sutarties terminas – </w:t>
      </w:r>
      <w:r w:rsidR="00AC6BDD">
        <w:rPr>
          <w:sz w:val="24"/>
          <w:szCs w:val="24"/>
        </w:rPr>
        <w:t>10</w:t>
      </w:r>
      <w:r w:rsidR="00E063D8">
        <w:rPr>
          <w:sz w:val="24"/>
          <w:szCs w:val="24"/>
        </w:rPr>
        <w:t xml:space="preserve"> met</w:t>
      </w:r>
      <w:r w:rsidR="00AC6BDD">
        <w:rPr>
          <w:sz w:val="24"/>
          <w:szCs w:val="24"/>
        </w:rPr>
        <w:t>ų</w:t>
      </w:r>
      <w:r w:rsidR="00E063D8">
        <w:rPr>
          <w:sz w:val="24"/>
          <w:szCs w:val="24"/>
        </w:rPr>
        <w:t xml:space="preserve"> (į sutarties terminą įskaitomas </w:t>
      </w:r>
      <w:r w:rsidR="00AC6BDD">
        <w:rPr>
          <w:sz w:val="24"/>
          <w:szCs w:val="24"/>
        </w:rPr>
        <w:t>5</w:t>
      </w:r>
      <w:r w:rsidR="00E063D8">
        <w:rPr>
          <w:sz w:val="24"/>
          <w:szCs w:val="24"/>
        </w:rPr>
        <w:t xml:space="preserve"> punkte nurodytas laikotarpis). Sutarties terminas galės būti pratęstas dar vieną kartą ne ilgesniam kaip </w:t>
      </w:r>
      <w:r w:rsidR="00AC6BDD">
        <w:rPr>
          <w:sz w:val="24"/>
          <w:szCs w:val="24"/>
        </w:rPr>
        <w:t>5</w:t>
      </w:r>
      <w:r w:rsidR="00E063D8">
        <w:rPr>
          <w:sz w:val="24"/>
          <w:szCs w:val="24"/>
        </w:rPr>
        <w:t xml:space="preserve"> metų laikotarpiui.</w:t>
      </w:r>
    </w:p>
    <w:p w:rsidR="00E063D8" w:rsidRDefault="00287E35" w:rsidP="00AC6BDD">
      <w:pPr>
        <w:tabs>
          <w:tab w:val="left" w:pos="1134"/>
        </w:tabs>
        <w:spacing w:line="276" w:lineRule="auto"/>
        <w:ind w:firstLine="720"/>
        <w:jc w:val="both"/>
      </w:pPr>
      <w:r>
        <w:rPr>
          <w:sz w:val="24"/>
          <w:szCs w:val="24"/>
        </w:rPr>
        <w:t>8</w:t>
      </w:r>
      <w:r w:rsidR="00E063D8">
        <w:rPr>
          <w:sz w:val="24"/>
          <w:szCs w:val="24"/>
        </w:rPr>
        <w:t>.  </w:t>
      </w:r>
      <w:r w:rsidR="00AC6BDD">
        <w:rPr>
          <w:sz w:val="24"/>
          <w:szCs w:val="24"/>
        </w:rPr>
        <w:t>Elektromobilių krovos įkainiai ir jų dydžiai</w:t>
      </w:r>
      <w:r w:rsidR="00E063D8">
        <w:rPr>
          <w:sz w:val="24"/>
          <w:szCs w:val="24"/>
        </w:rPr>
        <w:t xml:space="preserve">  </w:t>
      </w:r>
      <w:r w:rsidR="00AC6BDD">
        <w:rPr>
          <w:sz w:val="24"/>
          <w:szCs w:val="24"/>
        </w:rPr>
        <w:t>Operatori</w:t>
      </w:r>
      <w:r w:rsidR="00E063D8">
        <w:rPr>
          <w:sz w:val="24"/>
          <w:szCs w:val="24"/>
        </w:rPr>
        <w:t xml:space="preserve">ui </w:t>
      </w:r>
      <w:r w:rsidR="00AC6BDD">
        <w:rPr>
          <w:sz w:val="24"/>
          <w:szCs w:val="24"/>
        </w:rPr>
        <w:t>bus</w:t>
      </w:r>
      <w:r w:rsidR="00E063D8">
        <w:rPr>
          <w:sz w:val="24"/>
          <w:szCs w:val="24"/>
        </w:rPr>
        <w:t>  </w:t>
      </w:r>
      <w:r w:rsidR="00AC6BDD">
        <w:rPr>
          <w:sz w:val="24"/>
          <w:szCs w:val="24"/>
        </w:rPr>
        <w:t>nustatyti</w:t>
      </w:r>
      <w:r w:rsidR="00E063D8">
        <w:rPr>
          <w:sz w:val="24"/>
          <w:szCs w:val="24"/>
        </w:rPr>
        <w:t xml:space="preserve"> vadovaujantis Paslaugų teikimo sutarties   nustatyta tvarka (Konkurso sąlygų 3 priedas „</w:t>
      </w:r>
      <w:r w:rsidR="00AC6BDD">
        <w:rPr>
          <w:sz w:val="24"/>
          <w:szCs w:val="24"/>
        </w:rPr>
        <w:t>E</w:t>
      </w:r>
      <w:r w:rsidR="00AC6BDD" w:rsidRPr="00AC6BDD">
        <w:rPr>
          <w:sz w:val="24"/>
          <w:szCs w:val="24"/>
        </w:rPr>
        <w:t>lektromobilių įprastos galios įkrovimo pr</w:t>
      </w:r>
      <w:r w:rsidR="00AC6BDD">
        <w:rPr>
          <w:sz w:val="24"/>
          <w:szCs w:val="24"/>
        </w:rPr>
        <w:t xml:space="preserve">ieigų įrengimo ir eksploatavimo </w:t>
      </w:r>
      <w:r w:rsidR="00AC6BDD">
        <w:rPr>
          <w:color w:val="333333"/>
          <w:sz w:val="24"/>
          <w:szCs w:val="24"/>
        </w:rPr>
        <w:t>V</w:t>
      </w:r>
      <w:r w:rsidR="00AC6BDD" w:rsidRPr="00AC6BDD">
        <w:rPr>
          <w:color w:val="333333"/>
          <w:sz w:val="24"/>
          <w:szCs w:val="24"/>
        </w:rPr>
        <w:t xml:space="preserve">ilniaus miesto </w:t>
      </w:r>
      <w:r w:rsidR="00AC6BDD" w:rsidRPr="00AC6BDD">
        <w:rPr>
          <w:sz w:val="24"/>
        </w:rPr>
        <w:t>savivaldybės viešojoje teritorijoje</w:t>
      </w:r>
      <w:r w:rsidR="00AC6BDD">
        <w:rPr>
          <w:sz w:val="24"/>
          <w:szCs w:val="24"/>
        </w:rPr>
        <w:t xml:space="preserve"> </w:t>
      </w:r>
      <w:r w:rsidR="00E063D8">
        <w:rPr>
          <w:sz w:val="24"/>
          <w:szCs w:val="24"/>
        </w:rPr>
        <w:t>paslaugų teikimo sutartis“).         </w:t>
      </w:r>
    </w:p>
    <w:p w:rsidR="00E063D8" w:rsidRDefault="00287E35" w:rsidP="00AC6BDD">
      <w:pPr>
        <w:spacing w:line="276" w:lineRule="auto"/>
        <w:ind w:firstLine="720"/>
        <w:jc w:val="both"/>
      </w:pPr>
      <w:r>
        <w:rPr>
          <w:sz w:val="24"/>
          <w:szCs w:val="24"/>
        </w:rPr>
        <w:t>9</w:t>
      </w:r>
      <w:r w:rsidR="00E063D8">
        <w:rPr>
          <w:sz w:val="24"/>
          <w:szCs w:val="24"/>
        </w:rPr>
        <w:t xml:space="preserve">.  Reikalavimai </w:t>
      </w:r>
      <w:r w:rsidR="00AC6BDD">
        <w:rPr>
          <w:sz w:val="24"/>
          <w:szCs w:val="24"/>
        </w:rPr>
        <w:t>Operatori</w:t>
      </w:r>
      <w:r w:rsidR="00E063D8">
        <w:rPr>
          <w:sz w:val="24"/>
          <w:szCs w:val="24"/>
        </w:rPr>
        <w:t xml:space="preserve">ui, teikiamų paslaugų kokybei ir </w:t>
      </w:r>
      <w:r w:rsidR="00AC6BDD">
        <w:rPr>
          <w:sz w:val="24"/>
          <w:szCs w:val="24"/>
        </w:rPr>
        <w:t>elektromobilių krovos stotelėms</w:t>
      </w:r>
      <w:r w:rsidR="00E063D8">
        <w:rPr>
          <w:sz w:val="24"/>
          <w:szCs w:val="24"/>
        </w:rPr>
        <w:t xml:space="preserve"> numatyti šios techninės specifikacijos II </w:t>
      </w:r>
      <w:r w:rsidR="00040917" w:rsidRPr="006E6886">
        <w:t>–</w:t>
      </w:r>
      <w:r w:rsidR="00213CEF">
        <w:rPr>
          <w:sz w:val="24"/>
          <w:szCs w:val="24"/>
        </w:rPr>
        <w:t xml:space="preserve"> </w:t>
      </w:r>
      <w:r w:rsidR="00040917">
        <w:rPr>
          <w:sz w:val="24"/>
          <w:szCs w:val="24"/>
        </w:rPr>
        <w:t>V</w:t>
      </w:r>
      <w:r w:rsidR="00E063D8">
        <w:rPr>
          <w:sz w:val="24"/>
          <w:szCs w:val="24"/>
        </w:rPr>
        <w:t xml:space="preserve"> dalyse.</w:t>
      </w:r>
    </w:p>
    <w:p w:rsidR="00E063D8" w:rsidRDefault="00287E35" w:rsidP="00AC6BDD">
      <w:pPr>
        <w:tabs>
          <w:tab w:val="left" w:pos="709"/>
        </w:tabs>
        <w:spacing w:line="276" w:lineRule="auto"/>
        <w:ind w:firstLine="720"/>
        <w:jc w:val="both"/>
      </w:pPr>
      <w:r>
        <w:rPr>
          <w:sz w:val="24"/>
          <w:szCs w:val="24"/>
        </w:rPr>
        <w:t>10</w:t>
      </w:r>
      <w:r w:rsidR="00E063D8">
        <w:rPr>
          <w:sz w:val="24"/>
          <w:szCs w:val="24"/>
        </w:rPr>
        <w:t xml:space="preserve">. Visose </w:t>
      </w:r>
      <w:r w:rsidR="00AC6BDD">
        <w:rPr>
          <w:sz w:val="24"/>
          <w:szCs w:val="24"/>
        </w:rPr>
        <w:t>elektromobilių krovos prieigų paketuose nurodytuose taškuose</w:t>
      </w:r>
      <w:r w:rsidR="00E063D8">
        <w:rPr>
          <w:sz w:val="24"/>
          <w:szCs w:val="24"/>
        </w:rPr>
        <w:t xml:space="preserve"> (Konkurso sąlygų 3 priedas „Viešųjų paslaugų teikimo sutartis“ </w:t>
      </w:r>
      <w:r w:rsidR="00AC6BDD">
        <w:rPr>
          <w:sz w:val="24"/>
          <w:szCs w:val="24"/>
        </w:rPr>
        <w:t xml:space="preserve">      </w:t>
      </w:r>
      <w:r w:rsidR="00E063D8">
        <w:rPr>
          <w:sz w:val="24"/>
          <w:szCs w:val="24"/>
        </w:rPr>
        <w:t xml:space="preserve"> p.), turės būti sumontuot</w:t>
      </w:r>
      <w:r w:rsidR="00AC6BDD">
        <w:rPr>
          <w:sz w:val="24"/>
          <w:szCs w:val="24"/>
        </w:rPr>
        <w:t>os</w:t>
      </w:r>
      <w:r w:rsidR="00E063D8">
        <w:rPr>
          <w:sz w:val="24"/>
          <w:szCs w:val="24"/>
        </w:rPr>
        <w:t xml:space="preserve"> </w:t>
      </w:r>
      <w:r w:rsidR="00AC6BDD">
        <w:rPr>
          <w:sz w:val="24"/>
          <w:szCs w:val="24"/>
        </w:rPr>
        <w:t>elektromobilių krovos stotelės</w:t>
      </w:r>
      <w:r w:rsidR="00E063D8">
        <w:rPr>
          <w:sz w:val="24"/>
          <w:szCs w:val="24"/>
        </w:rPr>
        <w:t xml:space="preserve">. </w:t>
      </w:r>
      <w:r w:rsidR="00AC6BDD">
        <w:rPr>
          <w:sz w:val="24"/>
          <w:szCs w:val="24"/>
        </w:rPr>
        <w:t xml:space="preserve"> </w:t>
      </w:r>
      <w:r w:rsidR="00E063D8">
        <w:rPr>
          <w:sz w:val="24"/>
          <w:szCs w:val="24"/>
        </w:rPr>
        <w:t xml:space="preserve"> Už</w:t>
      </w:r>
      <w:r w:rsidR="00AC6BDD">
        <w:rPr>
          <w:sz w:val="24"/>
          <w:szCs w:val="24"/>
        </w:rPr>
        <w:t xml:space="preserve"> elektromobilių krovos prieigų projektavimą,</w:t>
      </w:r>
      <w:r w:rsidR="00E063D8">
        <w:rPr>
          <w:sz w:val="24"/>
          <w:szCs w:val="24"/>
        </w:rPr>
        <w:t xml:space="preserve"> </w:t>
      </w:r>
      <w:r w:rsidR="00AC6BDD">
        <w:rPr>
          <w:sz w:val="24"/>
          <w:szCs w:val="24"/>
        </w:rPr>
        <w:t>elektromobilių krovos stotelių</w:t>
      </w:r>
      <w:r w:rsidR="00E063D8">
        <w:rPr>
          <w:sz w:val="24"/>
          <w:szCs w:val="24"/>
        </w:rPr>
        <w:t xml:space="preserve"> </w:t>
      </w:r>
      <w:r w:rsidR="00AC6BDD">
        <w:rPr>
          <w:sz w:val="24"/>
          <w:szCs w:val="24"/>
        </w:rPr>
        <w:t>įsigijimą, sumontavimą ir</w:t>
      </w:r>
      <w:r w:rsidR="00E063D8">
        <w:rPr>
          <w:sz w:val="24"/>
          <w:szCs w:val="24"/>
        </w:rPr>
        <w:t xml:space="preserve"> tinkamą naudojimą </w:t>
      </w:r>
      <w:r w:rsidR="00AC6BDD">
        <w:rPr>
          <w:sz w:val="24"/>
          <w:szCs w:val="24"/>
        </w:rPr>
        <w:t>atsakingas Operatorius</w:t>
      </w:r>
      <w:r w:rsidR="00E063D8">
        <w:rPr>
          <w:sz w:val="24"/>
          <w:szCs w:val="24"/>
        </w:rPr>
        <w:t>.</w:t>
      </w:r>
    </w:p>
    <w:p w:rsidR="00E063D8" w:rsidRDefault="00E063D8" w:rsidP="00AC6BDD">
      <w:pPr>
        <w:tabs>
          <w:tab w:val="left" w:pos="709"/>
        </w:tabs>
        <w:ind w:firstLine="567"/>
        <w:jc w:val="both"/>
      </w:pPr>
      <w:r>
        <w:rPr>
          <w:sz w:val="24"/>
          <w:szCs w:val="24"/>
        </w:rPr>
        <w:t xml:space="preserve">  </w:t>
      </w:r>
      <w:r w:rsidR="00AC6BDD">
        <w:rPr>
          <w:sz w:val="24"/>
          <w:szCs w:val="24"/>
        </w:rPr>
        <w:t xml:space="preserve"> </w:t>
      </w:r>
    </w:p>
    <w:p w:rsidR="00E063D8" w:rsidRDefault="00E063D8" w:rsidP="00E063D8">
      <w:pPr>
        <w:jc w:val="both"/>
      </w:pPr>
    </w:p>
    <w:p w:rsidR="00E063D8" w:rsidRPr="0007707A" w:rsidRDefault="00E063D8" w:rsidP="00E063D8">
      <w:pPr>
        <w:tabs>
          <w:tab w:val="left" w:pos="993"/>
        </w:tabs>
        <w:jc w:val="center"/>
        <w:rPr>
          <w:sz w:val="24"/>
          <w:szCs w:val="24"/>
        </w:rPr>
      </w:pPr>
      <w:r w:rsidRPr="0007707A">
        <w:rPr>
          <w:b/>
          <w:sz w:val="24"/>
          <w:szCs w:val="24"/>
        </w:rPr>
        <w:t xml:space="preserve">II. </w:t>
      </w:r>
      <w:r w:rsidR="00AC6BDD" w:rsidRPr="0007707A">
        <w:rPr>
          <w:b/>
          <w:sz w:val="24"/>
          <w:szCs w:val="24"/>
        </w:rPr>
        <w:t xml:space="preserve"> R</w:t>
      </w:r>
      <w:r w:rsidRPr="0007707A">
        <w:rPr>
          <w:b/>
          <w:sz w:val="24"/>
          <w:szCs w:val="24"/>
        </w:rPr>
        <w:t xml:space="preserve">EIKALAVIMAI </w:t>
      </w:r>
      <w:r w:rsidR="00AC6BDD" w:rsidRPr="0007707A">
        <w:rPr>
          <w:b/>
          <w:sz w:val="24"/>
          <w:szCs w:val="24"/>
        </w:rPr>
        <w:t>ELEKTROMOBILIŲ ĮPRASTOS GALIOS ĮKROVIMO PRIEIGŲ PROJEKTAVIMUI</w:t>
      </w:r>
    </w:p>
    <w:p w:rsidR="00E063D8" w:rsidRDefault="00E063D8" w:rsidP="00E063D8">
      <w:pPr>
        <w:tabs>
          <w:tab w:val="left" w:pos="993"/>
        </w:tabs>
        <w:jc w:val="both"/>
      </w:pPr>
    </w:p>
    <w:p w:rsidR="00AC6BDD" w:rsidRPr="00AC6BDD" w:rsidRDefault="00E063D8" w:rsidP="00AC6BDD">
      <w:pPr>
        <w:spacing w:line="276" w:lineRule="auto"/>
        <w:ind w:firstLine="709"/>
        <w:jc w:val="both"/>
        <w:rPr>
          <w:sz w:val="24"/>
          <w:szCs w:val="24"/>
        </w:rPr>
      </w:pPr>
      <w:r w:rsidRPr="00AC6BDD">
        <w:rPr>
          <w:sz w:val="24"/>
          <w:szCs w:val="24"/>
        </w:rPr>
        <w:t>1</w:t>
      </w:r>
      <w:r w:rsidR="00287E35">
        <w:rPr>
          <w:sz w:val="24"/>
          <w:szCs w:val="24"/>
        </w:rPr>
        <w:t>1</w:t>
      </w:r>
      <w:r w:rsidRPr="00AC6BDD">
        <w:rPr>
          <w:sz w:val="24"/>
          <w:szCs w:val="24"/>
        </w:rPr>
        <w:t xml:space="preserve">. </w:t>
      </w:r>
      <w:r w:rsidR="00AC6BDD">
        <w:rPr>
          <w:sz w:val="24"/>
          <w:szCs w:val="24"/>
        </w:rPr>
        <w:t xml:space="preserve">  </w:t>
      </w:r>
      <w:r w:rsidR="00AC6BDD" w:rsidRPr="00AC6BDD">
        <w:rPr>
          <w:sz w:val="24"/>
          <w:szCs w:val="24"/>
        </w:rPr>
        <w:t>Projekta</w:t>
      </w:r>
      <w:r w:rsidR="00AC6BDD">
        <w:rPr>
          <w:sz w:val="24"/>
          <w:szCs w:val="24"/>
        </w:rPr>
        <w:t>i</w:t>
      </w:r>
      <w:r w:rsidR="00AC6BDD" w:rsidRPr="00AC6BDD">
        <w:rPr>
          <w:sz w:val="24"/>
          <w:szCs w:val="24"/>
        </w:rPr>
        <w:t xml:space="preserve"> rengiam</w:t>
      </w:r>
      <w:r w:rsidR="00AC6BDD">
        <w:rPr>
          <w:sz w:val="24"/>
          <w:szCs w:val="24"/>
        </w:rPr>
        <w:t>i</w:t>
      </w:r>
      <w:r w:rsidR="00AC6BDD" w:rsidRPr="00AC6BDD">
        <w:rPr>
          <w:sz w:val="24"/>
          <w:szCs w:val="24"/>
        </w:rPr>
        <w:t xml:space="preserve"> vadovaujantis:</w:t>
      </w:r>
    </w:p>
    <w:p w:rsidR="00AC6BDD" w:rsidRPr="00AC6BDD" w:rsidRDefault="00AC6BDD" w:rsidP="00AC6BDD">
      <w:pPr>
        <w:spacing w:line="276" w:lineRule="auto"/>
        <w:ind w:firstLine="709"/>
        <w:jc w:val="both"/>
        <w:rPr>
          <w:sz w:val="24"/>
          <w:szCs w:val="24"/>
        </w:rPr>
      </w:pPr>
      <w:r>
        <w:rPr>
          <w:sz w:val="24"/>
          <w:szCs w:val="24"/>
        </w:rPr>
        <w:t>1</w:t>
      </w:r>
      <w:r w:rsidR="00287E35">
        <w:rPr>
          <w:sz w:val="24"/>
          <w:szCs w:val="24"/>
        </w:rPr>
        <w:t>1</w:t>
      </w:r>
      <w:r>
        <w:rPr>
          <w:sz w:val="24"/>
          <w:szCs w:val="24"/>
        </w:rPr>
        <w:t>.</w:t>
      </w:r>
      <w:r w:rsidRPr="00AC6BDD">
        <w:rPr>
          <w:sz w:val="24"/>
          <w:szCs w:val="24"/>
        </w:rPr>
        <w:t xml:space="preserve">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 </w:t>
      </w:r>
    </w:p>
    <w:p w:rsidR="00AC6BDD" w:rsidRPr="00AC6BDD" w:rsidRDefault="00AC6BDD" w:rsidP="00AC6BDD">
      <w:pPr>
        <w:spacing w:line="276" w:lineRule="auto"/>
        <w:ind w:firstLine="709"/>
        <w:jc w:val="both"/>
        <w:rPr>
          <w:sz w:val="24"/>
          <w:szCs w:val="24"/>
        </w:rPr>
      </w:pPr>
      <w:r>
        <w:rPr>
          <w:sz w:val="24"/>
          <w:szCs w:val="24"/>
        </w:rPr>
        <w:t>1</w:t>
      </w:r>
      <w:r w:rsidR="00287E35">
        <w:rPr>
          <w:sz w:val="24"/>
          <w:szCs w:val="24"/>
        </w:rPr>
        <w:t>1</w:t>
      </w:r>
      <w:r>
        <w:rPr>
          <w:sz w:val="24"/>
          <w:szCs w:val="24"/>
        </w:rPr>
        <w:t>.</w:t>
      </w:r>
      <w:r w:rsidRPr="00AC6BDD">
        <w:rPr>
          <w:sz w:val="24"/>
          <w:szCs w:val="24"/>
        </w:rPr>
        <w:t>2. Projektas turi būti rengiamas naudojant licencijuotą projektavimo programinę įrangą.</w:t>
      </w:r>
    </w:p>
    <w:p w:rsidR="00AC6BDD" w:rsidRPr="00AC6BDD" w:rsidRDefault="00AC6BDD" w:rsidP="00AC6BDD">
      <w:pPr>
        <w:spacing w:line="276" w:lineRule="auto"/>
        <w:ind w:firstLine="709"/>
        <w:jc w:val="both"/>
        <w:rPr>
          <w:sz w:val="24"/>
          <w:szCs w:val="24"/>
        </w:rPr>
      </w:pPr>
      <w:r>
        <w:rPr>
          <w:sz w:val="24"/>
          <w:szCs w:val="24"/>
        </w:rPr>
        <w:t>1</w:t>
      </w:r>
      <w:r w:rsidR="00287E35">
        <w:rPr>
          <w:sz w:val="24"/>
          <w:szCs w:val="24"/>
        </w:rPr>
        <w:t>1</w:t>
      </w:r>
      <w:r>
        <w:rPr>
          <w:sz w:val="24"/>
          <w:szCs w:val="24"/>
        </w:rPr>
        <w:t>.</w:t>
      </w:r>
      <w:r w:rsidRPr="00AC6BDD">
        <w:rPr>
          <w:sz w:val="24"/>
          <w:szCs w:val="24"/>
        </w:rPr>
        <w:t xml:space="preserve">3. Rengiant projektą vadovautis šia </w:t>
      </w:r>
      <w:r>
        <w:rPr>
          <w:sz w:val="24"/>
          <w:szCs w:val="24"/>
        </w:rPr>
        <w:t>technine specifikacija</w:t>
      </w:r>
      <w:r w:rsidRPr="00AC6BDD">
        <w:rPr>
          <w:sz w:val="24"/>
          <w:szCs w:val="24"/>
        </w:rPr>
        <w:t>,  Statybos įstatymo 24 straipsnio 3 dalyje išvardintais privalomaisiais statinio projekto rengimo dokumentais.</w:t>
      </w:r>
    </w:p>
    <w:p w:rsidR="00AC6BDD" w:rsidRPr="00AC6BDD" w:rsidRDefault="00AC6BDD" w:rsidP="00AC6BDD">
      <w:pPr>
        <w:spacing w:line="276" w:lineRule="auto"/>
        <w:ind w:firstLine="709"/>
        <w:jc w:val="both"/>
        <w:rPr>
          <w:sz w:val="24"/>
          <w:szCs w:val="24"/>
        </w:rPr>
      </w:pPr>
      <w:r>
        <w:rPr>
          <w:sz w:val="24"/>
          <w:szCs w:val="24"/>
        </w:rPr>
        <w:t>1</w:t>
      </w:r>
      <w:r w:rsidR="00287E35">
        <w:rPr>
          <w:sz w:val="24"/>
          <w:szCs w:val="24"/>
        </w:rPr>
        <w:t>1</w:t>
      </w:r>
      <w:r>
        <w:rPr>
          <w:sz w:val="24"/>
          <w:szCs w:val="24"/>
        </w:rPr>
        <w:t>.</w:t>
      </w:r>
      <w:r w:rsidRPr="00AC6BDD">
        <w:rPr>
          <w:sz w:val="24"/>
          <w:szCs w:val="24"/>
        </w:rPr>
        <w:t xml:space="preserve">4. Projektiniai sprendiniai turi būti suderinti su teritorijos infrastruktūros plėtra, galiojančio detaliojo plano sprendiniais. Projekto sprendiniai, pateikti techninėse specifikacijose, </w:t>
      </w:r>
      <w:r w:rsidRPr="00AC6BDD">
        <w:rPr>
          <w:sz w:val="24"/>
          <w:szCs w:val="24"/>
        </w:rPr>
        <w:lastRenderedPageBreak/>
        <w:t xml:space="preserve">aiškinamuosiuose raštuose, brėžiniuose bei darbų kiekių žiniaraščiuose, turi būti susieti tarpusavyje ir atskiruose Projekto dokumentuose bei tarp atskirų Projekto sudedamųjų dalių neturi prieštarauti vieni kitiems. </w:t>
      </w:r>
    </w:p>
    <w:p w:rsidR="00E063D8" w:rsidRDefault="00AC6BDD" w:rsidP="00AC6BDD">
      <w:pPr>
        <w:tabs>
          <w:tab w:val="left" w:pos="720"/>
          <w:tab w:val="left" w:pos="851"/>
          <w:tab w:val="left" w:pos="1134"/>
        </w:tabs>
        <w:spacing w:line="276" w:lineRule="auto"/>
        <w:ind w:firstLine="720"/>
        <w:jc w:val="both"/>
        <w:rPr>
          <w:sz w:val="24"/>
          <w:szCs w:val="24"/>
        </w:rPr>
      </w:pPr>
      <w:r>
        <w:rPr>
          <w:sz w:val="24"/>
          <w:szCs w:val="24"/>
        </w:rPr>
        <w:t>1</w:t>
      </w:r>
      <w:r w:rsidR="00287E35">
        <w:rPr>
          <w:sz w:val="24"/>
          <w:szCs w:val="24"/>
        </w:rPr>
        <w:t>1</w:t>
      </w:r>
      <w:r>
        <w:rPr>
          <w:sz w:val="24"/>
          <w:szCs w:val="24"/>
        </w:rPr>
        <w:t>.</w:t>
      </w:r>
      <w:r w:rsidRPr="00AC6BDD">
        <w:rPr>
          <w:sz w:val="24"/>
          <w:szCs w:val="24"/>
        </w:rPr>
        <w:t>5. 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p w:rsidR="00AC6BDD" w:rsidRDefault="00AC6BDD" w:rsidP="00AC6BDD">
      <w:pPr>
        <w:spacing w:line="276" w:lineRule="auto"/>
        <w:ind w:firstLine="709"/>
        <w:jc w:val="both"/>
        <w:rPr>
          <w:iCs/>
          <w:sz w:val="24"/>
          <w:lang w:eastAsia="lt-LT"/>
        </w:rPr>
      </w:pPr>
      <w:r>
        <w:rPr>
          <w:sz w:val="24"/>
          <w:szCs w:val="24"/>
        </w:rPr>
        <w:t>1</w:t>
      </w:r>
      <w:r w:rsidR="00287E35">
        <w:rPr>
          <w:sz w:val="24"/>
          <w:szCs w:val="24"/>
        </w:rPr>
        <w:t>2</w:t>
      </w:r>
      <w:r>
        <w:rPr>
          <w:sz w:val="24"/>
          <w:szCs w:val="24"/>
        </w:rPr>
        <w:t xml:space="preserve">.  </w:t>
      </w:r>
      <w:r w:rsidRPr="00AC6BDD">
        <w:rPr>
          <w:iCs/>
          <w:sz w:val="24"/>
          <w:lang w:eastAsia="lt-LT"/>
        </w:rPr>
        <w:t>Projektas turi atitikti Reglamento (ES) Nr. 305/2011 nustatytus esminius statinių reikalavimus, privalomųjų projekto rengimo dokumentų, kitų Lietuvos Respublikos įstatymų ir teisės aktų, normatyvinių statybos techninių dokumentų reikalavimus.</w:t>
      </w:r>
    </w:p>
    <w:p w:rsidR="00AC6BDD" w:rsidRPr="00AC6BDD" w:rsidRDefault="00AC6BDD" w:rsidP="00AC6BDD">
      <w:pPr>
        <w:spacing w:line="276" w:lineRule="auto"/>
        <w:ind w:firstLine="709"/>
        <w:jc w:val="both"/>
        <w:rPr>
          <w:sz w:val="24"/>
          <w:szCs w:val="24"/>
          <w:lang w:eastAsia="lt-LT"/>
        </w:rPr>
      </w:pPr>
      <w:r w:rsidRPr="00AC6BDD">
        <w:rPr>
          <w:iCs/>
          <w:sz w:val="24"/>
          <w:szCs w:val="24"/>
          <w:lang w:eastAsia="lt-LT"/>
        </w:rPr>
        <w:t>1</w:t>
      </w:r>
      <w:r w:rsidR="00287E35">
        <w:rPr>
          <w:iCs/>
          <w:sz w:val="24"/>
          <w:szCs w:val="24"/>
          <w:lang w:eastAsia="lt-LT"/>
        </w:rPr>
        <w:t>3</w:t>
      </w:r>
      <w:r w:rsidRPr="00AC6BDD">
        <w:rPr>
          <w:iCs/>
          <w:sz w:val="24"/>
          <w:szCs w:val="24"/>
          <w:lang w:eastAsia="lt-LT"/>
        </w:rPr>
        <w:t xml:space="preserve">.  </w:t>
      </w:r>
      <w:r w:rsidRPr="00AC6BDD">
        <w:rPr>
          <w:sz w:val="24"/>
          <w:szCs w:val="24"/>
          <w:lang w:eastAsia="lt-LT"/>
        </w:rPr>
        <w:t xml:space="preserve">Krovimo stotelės projektuojamos įgyvendinant 2014–2020 metų Europos Sąjungos fondų investicijų veiksmų programos 4 prioriteto „Energijos efektyvumo ir atsinaujinančių išteklių energijos gamybos ir naudojimo skatinimas“ 04.5.1-TID-V-515 priemonės „Elektromobilių įkrovimo prieigų tinklo kūrimas“. </w:t>
      </w:r>
      <w:r>
        <w:rPr>
          <w:sz w:val="24"/>
          <w:szCs w:val="24"/>
          <w:lang w:eastAsia="lt-LT"/>
        </w:rPr>
        <w:t xml:space="preserve"> </w:t>
      </w:r>
    </w:p>
    <w:p w:rsidR="00AC6BDD" w:rsidRDefault="00AC6BDD" w:rsidP="00AC6BDD">
      <w:pPr>
        <w:spacing w:line="276" w:lineRule="auto"/>
        <w:ind w:firstLine="709"/>
        <w:jc w:val="both"/>
        <w:rPr>
          <w:sz w:val="24"/>
          <w:szCs w:val="24"/>
        </w:rPr>
      </w:pPr>
      <w:r>
        <w:rPr>
          <w:sz w:val="24"/>
          <w:szCs w:val="24"/>
        </w:rPr>
        <w:t>1</w:t>
      </w:r>
      <w:r w:rsidR="00287E35">
        <w:rPr>
          <w:sz w:val="24"/>
          <w:szCs w:val="24"/>
        </w:rPr>
        <w:t>4</w:t>
      </w:r>
      <w:r>
        <w:rPr>
          <w:sz w:val="24"/>
          <w:szCs w:val="24"/>
        </w:rPr>
        <w:t xml:space="preserve">. </w:t>
      </w:r>
      <w:r w:rsidRPr="00AC6BDD">
        <w:rPr>
          <w:sz w:val="24"/>
          <w:szCs w:val="24"/>
        </w:rPr>
        <w:t>Projektuotojas pagal gautas prisijungimo sąlygas</w:t>
      </w:r>
      <w:r>
        <w:rPr>
          <w:sz w:val="24"/>
          <w:szCs w:val="24"/>
        </w:rPr>
        <w:t xml:space="preserve"> turi</w:t>
      </w:r>
      <w:r w:rsidRPr="00AC6BDD">
        <w:rPr>
          <w:sz w:val="24"/>
          <w:szCs w:val="24"/>
        </w:rPr>
        <w:t xml:space="preserve"> pareng</w:t>
      </w:r>
      <w:r>
        <w:rPr>
          <w:sz w:val="24"/>
          <w:szCs w:val="24"/>
        </w:rPr>
        <w:t>ti</w:t>
      </w:r>
      <w:r w:rsidRPr="00AC6BDD">
        <w:rPr>
          <w:sz w:val="24"/>
          <w:szCs w:val="24"/>
        </w:rPr>
        <w:t xml:space="preserve"> techninį projektą numatant dvi pastovios galios krovimo vietas bei dvi vietas automobilių laukimui, numatys gatvės ženklinimo, pamato įrengimo sprendinius. Esant poreikiui, gau</w:t>
      </w:r>
      <w:r>
        <w:rPr>
          <w:sz w:val="24"/>
          <w:szCs w:val="24"/>
        </w:rPr>
        <w:t>ti</w:t>
      </w:r>
      <w:r w:rsidRPr="00AC6BDD">
        <w:rPr>
          <w:sz w:val="24"/>
          <w:szCs w:val="24"/>
        </w:rPr>
        <w:t xml:space="preserve"> reikalingus suderinimus projekto sprendiniams bei statybą leidžiantį dokumentą.</w:t>
      </w:r>
    </w:p>
    <w:p w:rsidR="00AC6BDD" w:rsidRDefault="00AC6BDD" w:rsidP="00AC6BDD">
      <w:pPr>
        <w:snapToGrid w:val="0"/>
        <w:spacing w:line="276" w:lineRule="auto"/>
        <w:ind w:firstLine="709"/>
        <w:jc w:val="both"/>
        <w:rPr>
          <w:sz w:val="24"/>
          <w:szCs w:val="24"/>
        </w:rPr>
      </w:pPr>
      <w:r w:rsidRPr="00AC6BDD">
        <w:rPr>
          <w:sz w:val="24"/>
          <w:szCs w:val="24"/>
        </w:rPr>
        <w:t>1</w:t>
      </w:r>
      <w:r w:rsidR="00287E35">
        <w:rPr>
          <w:sz w:val="24"/>
          <w:szCs w:val="24"/>
        </w:rPr>
        <w:t>5</w:t>
      </w:r>
      <w:r w:rsidRPr="00AC6BDD">
        <w:rPr>
          <w:sz w:val="24"/>
          <w:szCs w:val="24"/>
        </w:rPr>
        <w:t xml:space="preserve">.  Projekte turi būti suprojektuota visa pilnaverčiam statinio eksploatavimui reikalinga infrastruktūra: lauko inžineriniai tinklai, </w:t>
      </w:r>
      <w:proofErr w:type="spellStart"/>
      <w:r w:rsidRPr="00AC6BDD">
        <w:rPr>
          <w:sz w:val="24"/>
          <w:szCs w:val="24"/>
        </w:rPr>
        <w:t>gerbūvio</w:t>
      </w:r>
      <w:proofErr w:type="spellEnd"/>
      <w:r w:rsidRPr="00AC6BDD">
        <w:rPr>
          <w:sz w:val="24"/>
          <w:szCs w:val="24"/>
        </w:rPr>
        <w:t xml:space="preserve"> sutvarkymo darbai, numatytas reikalingas automobilių parkavimo vietų skaičius, kelio inžineriniai statiniai, ženklinimas, teritorijos ir kelių apšvietimas, vieta buitinėms atliekoms surinkti ir laikinai sandėliuoti, kiti krovimo stotelei aptarnauti reikalingi sprendiniai.</w:t>
      </w:r>
    </w:p>
    <w:p w:rsidR="00AC6BDD" w:rsidRDefault="00AC6BDD" w:rsidP="00AC6BDD">
      <w:pPr>
        <w:spacing w:line="276" w:lineRule="auto"/>
        <w:ind w:firstLine="709"/>
        <w:jc w:val="both"/>
        <w:rPr>
          <w:sz w:val="24"/>
          <w:szCs w:val="24"/>
        </w:rPr>
      </w:pPr>
      <w:r w:rsidRPr="00AC6BDD">
        <w:rPr>
          <w:kern w:val="2"/>
          <w:sz w:val="24"/>
          <w:szCs w:val="24"/>
        </w:rPr>
        <w:t>1</w:t>
      </w:r>
      <w:r w:rsidR="00287E35">
        <w:rPr>
          <w:kern w:val="2"/>
          <w:sz w:val="24"/>
          <w:szCs w:val="24"/>
        </w:rPr>
        <w:t>6</w:t>
      </w:r>
      <w:r w:rsidRPr="00AC6BDD">
        <w:rPr>
          <w:kern w:val="2"/>
          <w:sz w:val="24"/>
          <w:szCs w:val="24"/>
        </w:rPr>
        <w:t xml:space="preserve">. </w:t>
      </w:r>
      <w:r>
        <w:rPr>
          <w:sz w:val="24"/>
          <w:szCs w:val="24"/>
        </w:rPr>
        <w:t>Suderinti</w:t>
      </w:r>
      <w:r w:rsidRPr="00AC6BDD">
        <w:rPr>
          <w:sz w:val="24"/>
          <w:szCs w:val="24"/>
        </w:rPr>
        <w:t xml:space="preserve"> Projektinius pasiūlymus su Vilniaus miesto savivaldybės administracijos direktoriaus įgaliotu savivaldybės administracijos valstybės tarnautoju, atlikti visuomenės informavimą STR 1.04.04:2017 VIII. skyriaus nustatyta tvarka.</w:t>
      </w:r>
    </w:p>
    <w:p w:rsidR="00AC6BDD" w:rsidRPr="00AC6BDD" w:rsidRDefault="00AC6BDD" w:rsidP="00AC6BDD">
      <w:pPr>
        <w:spacing w:line="276" w:lineRule="auto"/>
        <w:ind w:firstLine="709"/>
        <w:jc w:val="both"/>
        <w:rPr>
          <w:sz w:val="32"/>
          <w:szCs w:val="24"/>
        </w:rPr>
      </w:pPr>
      <w:r>
        <w:rPr>
          <w:sz w:val="24"/>
          <w:szCs w:val="24"/>
        </w:rPr>
        <w:t>1</w:t>
      </w:r>
      <w:r w:rsidR="00287E35">
        <w:rPr>
          <w:sz w:val="24"/>
          <w:szCs w:val="24"/>
        </w:rPr>
        <w:t>7</w:t>
      </w:r>
      <w:r>
        <w:rPr>
          <w:sz w:val="24"/>
          <w:szCs w:val="24"/>
        </w:rPr>
        <w:t xml:space="preserve">. </w:t>
      </w:r>
      <w:r w:rsidRPr="00AC6BDD">
        <w:rPr>
          <w:sz w:val="24"/>
        </w:rPr>
        <w:t>Projektą derinti su kitomis valstybinės priežiūros institucijomis, kaip to reikalauja įstatymai, kiti teisės aktai.</w:t>
      </w:r>
    </w:p>
    <w:p w:rsidR="00AC6BDD" w:rsidRDefault="00AC6BDD" w:rsidP="00AC6BDD">
      <w:pPr>
        <w:snapToGrid w:val="0"/>
        <w:spacing w:line="276" w:lineRule="auto"/>
        <w:ind w:firstLine="709"/>
        <w:jc w:val="both"/>
        <w:rPr>
          <w:kern w:val="2"/>
          <w:sz w:val="24"/>
          <w:szCs w:val="24"/>
        </w:rPr>
      </w:pPr>
      <w:r>
        <w:rPr>
          <w:kern w:val="2"/>
          <w:sz w:val="24"/>
          <w:szCs w:val="24"/>
        </w:rPr>
        <w:t>1</w:t>
      </w:r>
      <w:r w:rsidR="00287E35">
        <w:rPr>
          <w:kern w:val="2"/>
          <w:sz w:val="24"/>
          <w:szCs w:val="24"/>
        </w:rPr>
        <w:t>8</w:t>
      </w:r>
      <w:r>
        <w:rPr>
          <w:kern w:val="2"/>
          <w:sz w:val="24"/>
          <w:szCs w:val="24"/>
        </w:rPr>
        <w:t xml:space="preserve">.  </w:t>
      </w:r>
      <w:r w:rsidRPr="00AC6BDD">
        <w:rPr>
          <w:bCs/>
          <w:kern w:val="2"/>
          <w:sz w:val="24"/>
          <w:szCs w:val="24"/>
        </w:rPr>
        <w:t>Konkurso laimėtojas privalo savo jėgomis gauti visus būtinus leidimus, sąlygas ir derinimus.</w:t>
      </w:r>
      <w:r w:rsidRPr="00AC6BDD">
        <w:rPr>
          <w:kern w:val="2"/>
          <w:sz w:val="24"/>
          <w:szCs w:val="24"/>
        </w:rPr>
        <w:t xml:space="preserve"> Esant nepagrįstiems reikalavimams išduodant būtinus leidimus, sąlygas ir derinimus, konkurso laimėtojas privalo informuoti apie tai Vilniaus miesto savivaldybės administraciją</w:t>
      </w:r>
    </w:p>
    <w:p w:rsidR="00AC6BDD" w:rsidRPr="00AC6BDD" w:rsidRDefault="00AC6BDD" w:rsidP="00AC6BDD">
      <w:pPr>
        <w:snapToGrid w:val="0"/>
        <w:spacing w:line="276" w:lineRule="auto"/>
        <w:ind w:firstLine="709"/>
        <w:jc w:val="both"/>
        <w:rPr>
          <w:kern w:val="2"/>
          <w:sz w:val="24"/>
          <w:szCs w:val="24"/>
        </w:rPr>
      </w:pPr>
    </w:p>
    <w:p w:rsidR="00AC6BDD" w:rsidRPr="00AC6BDD" w:rsidRDefault="00AC6BDD" w:rsidP="00AC6BDD">
      <w:pPr>
        <w:spacing w:line="276" w:lineRule="auto"/>
        <w:ind w:firstLine="709"/>
        <w:jc w:val="center"/>
        <w:rPr>
          <w:sz w:val="24"/>
          <w:szCs w:val="24"/>
        </w:rPr>
      </w:pPr>
      <w:r>
        <w:rPr>
          <w:b/>
          <w:bCs/>
          <w:sz w:val="24"/>
          <w:szCs w:val="24"/>
        </w:rPr>
        <w:t xml:space="preserve">III. </w:t>
      </w:r>
      <w:r w:rsidRPr="00AC6BDD">
        <w:rPr>
          <w:b/>
          <w:bCs/>
          <w:sz w:val="24"/>
          <w:szCs w:val="24"/>
        </w:rPr>
        <w:t>REIKALAVIMAI ELEKTROMOBILIŲ ĮKROVIMO PRIEIGAI</w:t>
      </w:r>
    </w:p>
    <w:p w:rsidR="00AC6BDD" w:rsidRDefault="00AC6BDD" w:rsidP="00AC6BDD">
      <w:pPr>
        <w:spacing w:line="276" w:lineRule="auto"/>
        <w:ind w:firstLine="709"/>
        <w:jc w:val="both"/>
        <w:rPr>
          <w:sz w:val="24"/>
          <w:szCs w:val="24"/>
        </w:rPr>
      </w:pPr>
    </w:p>
    <w:p w:rsidR="00AC6BDD" w:rsidRPr="00AC6BDD" w:rsidRDefault="00AC6BDD" w:rsidP="00AC6BDD">
      <w:pPr>
        <w:spacing w:line="276" w:lineRule="auto"/>
        <w:ind w:firstLine="709"/>
        <w:jc w:val="both"/>
        <w:rPr>
          <w:sz w:val="24"/>
          <w:szCs w:val="24"/>
        </w:rPr>
      </w:pPr>
      <w:r w:rsidRPr="00AC6BDD">
        <w:rPr>
          <w:sz w:val="24"/>
          <w:szCs w:val="24"/>
        </w:rPr>
        <w:t>1</w:t>
      </w:r>
      <w:r w:rsidR="00287E35">
        <w:rPr>
          <w:sz w:val="24"/>
          <w:szCs w:val="24"/>
        </w:rPr>
        <w:t>9</w:t>
      </w:r>
      <w:r w:rsidRPr="00AC6BDD">
        <w:rPr>
          <w:sz w:val="24"/>
          <w:szCs w:val="24"/>
        </w:rPr>
        <w:t>. Visos sistemos dalys, įskaitant valdiklį, jutiklių sąsajas, ryšio įrenginį, ir kitą reikalingą įrangą, turi būti patalpintos į hermetišką spintą, apsaugančią nuo kritulių, drėgmės, dulkių, vabzdžių ir atitinkančią mažiausiai IP-54 apsaugos klasę. Elektromobilių įkrovimo prieigos korpusas turi būti atsparus korozijai ir agresyviai aplinkai</w:t>
      </w:r>
      <w:r w:rsidRPr="00AC6BDD">
        <w:rPr>
          <w:b/>
          <w:bCs/>
          <w:sz w:val="24"/>
          <w:szCs w:val="24"/>
        </w:rPr>
        <w:t>.</w:t>
      </w:r>
    </w:p>
    <w:p w:rsidR="00AC6BDD" w:rsidRPr="00AC6BDD" w:rsidRDefault="00287E35" w:rsidP="00AC6BDD">
      <w:pPr>
        <w:spacing w:line="276" w:lineRule="auto"/>
        <w:ind w:firstLine="709"/>
        <w:jc w:val="both"/>
        <w:rPr>
          <w:sz w:val="24"/>
          <w:szCs w:val="24"/>
        </w:rPr>
      </w:pPr>
      <w:r>
        <w:rPr>
          <w:sz w:val="24"/>
          <w:szCs w:val="24"/>
        </w:rPr>
        <w:t>20</w:t>
      </w:r>
      <w:r w:rsidR="00AC6BDD" w:rsidRPr="00AC6BDD">
        <w:rPr>
          <w:sz w:val="24"/>
          <w:szCs w:val="24"/>
        </w:rPr>
        <w:t xml:space="preserve">. Elektromobilių įkrovimo prieiga turi atitikti šiuos įkrovimo standartus arba lygiaverčius: IEC 62196 </w:t>
      </w:r>
      <w:proofErr w:type="spellStart"/>
      <w:r w:rsidR="00AC6BDD" w:rsidRPr="00AC6BDD">
        <w:rPr>
          <w:sz w:val="24"/>
          <w:szCs w:val="24"/>
        </w:rPr>
        <w:t>Mode-3</w:t>
      </w:r>
      <w:proofErr w:type="spellEnd"/>
      <w:r w:rsidR="00AC6BDD" w:rsidRPr="00AC6BDD">
        <w:rPr>
          <w:sz w:val="24"/>
          <w:szCs w:val="24"/>
        </w:rPr>
        <w:t xml:space="preserve"> (ne mažesnės negu 3,7 kW), jungtis </w:t>
      </w:r>
      <w:proofErr w:type="spellStart"/>
      <w:r w:rsidR="00AC6BDD" w:rsidRPr="00AC6BDD">
        <w:rPr>
          <w:sz w:val="24"/>
          <w:szCs w:val="24"/>
        </w:rPr>
        <w:t>Type-2</w:t>
      </w:r>
      <w:proofErr w:type="spellEnd"/>
      <w:r w:rsidR="00AC6BDD" w:rsidRPr="00AC6BDD">
        <w:rPr>
          <w:sz w:val="24"/>
          <w:szCs w:val="24"/>
        </w:rPr>
        <w:t xml:space="preserve"> su laidu. Turi būti užtikrinta galimybė veikti dviem režimais</w:t>
      </w:r>
      <w:r w:rsidR="00AC6BDD" w:rsidRPr="00AC6BDD">
        <w:rPr>
          <w:sz w:val="24"/>
          <w:szCs w:val="24"/>
          <w:lang w:val="en-GB"/>
        </w:rPr>
        <w:t xml:space="preserve"> </w:t>
      </w:r>
      <w:r w:rsidR="00AC6BDD" w:rsidRPr="00AC6BDD">
        <w:rPr>
          <w:sz w:val="24"/>
          <w:szCs w:val="24"/>
        </w:rPr>
        <w:t>16A ir 32A.</w:t>
      </w:r>
    </w:p>
    <w:p w:rsidR="00AC6BDD" w:rsidRPr="00AC6BDD" w:rsidRDefault="00AC6BDD" w:rsidP="00AC6BDD">
      <w:pPr>
        <w:spacing w:line="276" w:lineRule="auto"/>
        <w:ind w:firstLine="709"/>
        <w:jc w:val="both"/>
        <w:rPr>
          <w:sz w:val="24"/>
          <w:szCs w:val="24"/>
        </w:rPr>
      </w:pPr>
      <w:r>
        <w:rPr>
          <w:sz w:val="24"/>
          <w:szCs w:val="24"/>
        </w:rPr>
        <w:t>2</w:t>
      </w:r>
      <w:r w:rsidR="00287E35">
        <w:rPr>
          <w:sz w:val="24"/>
          <w:szCs w:val="24"/>
        </w:rPr>
        <w:t>1</w:t>
      </w:r>
      <w:r w:rsidRPr="00AC6BDD">
        <w:rPr>
          <w:sz w:val="24"/>
          <w:szCs w:val="24"/>
        </w:rPr>
        <w:t>. Elektromobilių įkrovimo prieiga privalo turėti galimybę vienu metu įkrauti du elektromobilius</w:t>
      </w:r>
    </w:p>
    <w:p w:rsidR="00AC6BDD" w:rsidRPr="00AC6BDD" w:rsidRDefault="00AC6BDD" w:rsidP="00AC6BDD">
      <w:pPr>
        <w:spacing w:line="276" w:lineRule="auto"/>
        <w:ind w:firstLine="709"/>
        <w:jc w:val="both"/>
        <w:rPr>
          <w:sz w:val="24"/>
          <w:szCs w:val="24"/>
        </w:rPr>
      </w:pPr>
      <w:r>
        <w:rPr>
          <w:sz w:val="24"/>
          <w:szCs w:val="24"/>
        </w:rPr>
        <w:lastRenderedPageBreak/>
        <w:t>2</w:t>
      </w:r>
      <w:r w:rsidR="00287E35">
        <w:rPr>
          <w:sz w:val="24"/>
          <w:szCs w:val="24"/>
        </w:rPr>
        <w:t>2</w:t>
      </w:r>
      <w:r w:rsidRPr="00AC6BDD">
        <w:rPr>
          <w:sz w:val="24"/>
          <w:szCs w:val="24"/>
        </w:rPr>
        <w:t>. Elektromobilių įkrovimo prieigos valdymas turi būti vykdomas lietimui jautriu ekranu arba tam skirtais „</w:t>
      </w:r>
      <w:proofErr w:type="spellStart"/>
      <w:r w:rsidRPr="00AC6BDD">
        <w:rPr>
          <w:sz w:val="24"/>
          <w:szCs w:val="24"/>
        </w:rPr>
        <w:t>antivandaliniais</w:t>
      </w:r>
      <w:proofErr w:type="spellEnd"/>
      <w:r w:rsidRPr="00AC6BDD">
        <w:rPr>
          <w:sz w:val="24"/>
          <w:szCs w:val="24"/>
        </w:rPr>
        <w:t>“ mygtukais su laisvai prieinamu avariniu išjungimo mygtuku.</w:t>
      </w:r>
    </w:p>
    <w:p w:rsidR="00AC6BDD" w:rsidRPr="00AC6BDD" w:rsidRDefault="00AC6BDD" w:rsidP="00AC6BDD">
      <w:pPr>
        <w:spacing w:line="276" w:lineRule="auto"/>
        <w:ind w:firstLine="709"/>
        <w:jc w:val="both"/>
        <w:rPr>
          <w:sz w:val="24"/>
          <w:szCs w:val="24"/>
        </w:rPr>
      </w:pPr>
      <w:r>
        <w:rPr>
          <w:sz w:val="24"/>
          <w:szCs w:val="24"/>
        </w:rPr>
        <w:t>2</w:t>
      </w:r>
      <w:r w:rsidR="00287E35">
        <w:rPr>
          <w:sz w:val="24"/>
          <w:szCs w:val="24"/>
        </w:rPr>
        <w:t>3</w:t>
      </w:r>
      <w:r w:rsidRPr="00AC6BDD">
        <w:rPr>
          <w:sz w:val="24"/>
          <w:szCs w:val="24"/>
        </w:rPr>
        <w:t>. Elektromobilių įkrovimo prieigą atsparumo klasė smūgiams ne mažiau kaip IK08</w:t>
      </w:r>
    </w:p>
    <w:p w:rsidR="00AC6BDD" w:rsidRPr="00AC6BDD" w:rsidRDefault="00AC6BDD" w:rsidP="00AC6BDD">
      <w:pPr>
        <w:spacing w:line="276" w:lineRule="auto"/>
        <w:ind w:firstLine="709"/>
        <w:jc w:val="both"/>
        <w:rPr>
          <w:sz w:val="24"/>
          <w:szCs w:val="24"/>
        </w:rPr>
      </w:pPr>
      <w:r>
        <w:rPr>
          <w:sz w:val="24"/>
          <w:szCs w:val="24"/>
        </w:rPr>
        <w:t>2</w:t>
      </w:r>
      <w:r w:rsidR="00287E35">
        <w:rPr>
          <w:sz w:val="24"/>
          <w:szCs w:val="24"/>
        </w:rPr>
        <w:t>4</w:t>
      </w:r>
      <w:r w:rsidRPr="00AC6BDD">
        <w:rPr>
          <w:sz w:val="24"/>
          <w:szCs w:val="24"/>
        </w:rPr>
        <w:t>. Spintoje turi būti sumontuota ryšio įranga skirta 24 val. per parą stebėti įrenginio veikimui , jo</w:t>
      </w:r>
      <w:r w:rsidRPr="00AC6BDD">
        <w:rPr>
          <w:sz w:val="24"/>
          <w:szCs w:val="24"/>
          <w:lang w:val="en-GB"/>
        </w:rPr>
        <w:t xml:space="preserve"> </w:t>
      </w:r>
      <w:r w:rsidRPr="00AC6BDD">
        <w:rPr>
          <w:sz w:val="24"/>
          <w:szCs w:val="24"/>
        </w:rPr>
        <w:t>administravimui.</w:t>
      </w:r>
    </w:p>
    <w:p w:rsidR="00AC6BDD" w:rsidRPr="00AC6BDD" w:rsidRDefault="00AC6BDD" w:rsidP="00AC6BDD">
      <w:pPr>
        <w:spacing w:line="276" w:lineRule="auto"/>
        <w:ind w:firstLine="709"/>
        <w:jc w:val="both"/>
        <w:rPr>
          <w:sz w:val="24"/>
          <w:szCs w:val="24"/>
        </w:rPr>
      </w:pPr>
      <w:r>
        <w:rPr>
          <w:sz w:val="24"/>
          <w:szCs w:val="24"/>
        </w:rPr>
        <w:t>2</w:t>
      </w:r>
      <w:r w:rsidR="00287E35">
        <w:rPr>
          <w:sz w:val="24"/>
          <w:szCs w:val="24"/>
        </w:rPr>
        <w:t>5</w:t>
      </w:r>
      <w:r w:rsidRPr="00AC6BDD">
        <w:rPr>
          <w:sz w:val="24"/>
          <w:szCs w:val="24"/>
        </w:rPr>
        <w:t>. Elektromobilių įkrovimo prieigos viduje arba šalia turi būti numatyta vieta skirta įdiegti atsiskaitomųjų išankstinio mokėjimo identifikacinių kortelių ar kitų elektroninių atsiskaitymų už paslaugas įrenginius.</w:t>
      </w:r>
    </w:p>
    <w:p w:rsidR="00AC6BDD" w:rsidRPr="00AC6BDD" w:rsidRDefault="00AC6BDD" w:rsidP="00AC6BDD">
      <w:pPr>
        <w:spacing w:line="276" w:lineRule="auto"/>
        <w:ind w:firstLine="709"/>
        <w:jc w:val="both"/>
        <w:rPr>
          <w:sz w:val="24"/>
          <w:szCs w:val="24"/>
        </w:rPr>
      </w:pPr>
      <w:r>
        <w:rPr>
          <w:sz w:val="24"/>
          <w:szCs w:val="24"/>
        </w:rPr>
        <w:t>2</w:t>
      </w:r>
      <w:r w:rsidR="00287E35">
        <w:rPr>
          <w:sz w:val="24"/>
          <w:szCs w:val="24"/>
        </w:rPr>
        <w:t>6</w:t>
      </w:r>
      <w:r w:rsidRPr="00AC6BDD">
        <w:rPr>
          <w:sz w:val="24"/>
          <w:szCs w:val="24"/>
        </w:rPr>
        <w:t>. Elektromobilių įkrovimo prieigos spinta turi apsaugoti sistemą nuo nesankcionuoto priėjimo į elektromobilių įkrovimo prieigos vidų. Visų tiekiamų įrenginių spintos turi būti rakinamos raktu. Negali būti naudojamas universalūs užraktų tipai (pavyzdžiui, trikampis raktas).</w:t>
      </w:r>
    </w:p>
    <w:p w:rsidR="00AC6BDD" w:rsidRPr="00AC6BDD" w:rsidRDefault="00AC6BDD" w:rsidP="00AC6BDD">
      <w:pPr>
        <w:spacing w:line="276" w:lineRule="auto"/>
        <w:ind w:firstLine="709"/>
        <w:jc w:val="both"/>
        <w:rPr>
          <w:sz w:val="24"/>
          <w:szCs w:val="24"/>
        </w:rPr>
      </w:pPr>
      <w:r>
        <w:rPr>
          <w:sz w:val="24"/>
          <w:szCs w:val="24"/>
        </w:rPr>
        <w:t>2</w:t>
      </w:r>
      <w:r w:rsidR="00287E35">
        <w:rPr>
          <w:sz w:val="24"/>
          <w:szCs w:val="24"/>
        </w:rPr>
        <w:t>7</w:t>
      </w:r>
      <w:r w:rsidRPr="00AC6BDD">
        <w:rPr>
          <w:sz w:val="24"/>
          <w:szCs w:val="24"/>
        </w:rPr>
        <w:t>. Elektromobilių įkrovimo prieiga turi užtikrinti visos naujausioje “</w:t>
      </w:r>
      <w:proofErr w:type="spellStart"/>
      <w:r w:rsidRPr="00AC6BDD">
        <w:rPr>
          <w:sz w:val="24"/>
          <w:szCs w:val="24"/>
        </w:rPr>
        <w:t>Open</w:t>
      </w:r>
      <w:proofErr w:type="spellEnd"/>
      <w:r w:rsidRPr="00AC6BDD">
        <w:rPr>
          <w:sz w:val="24"/>
          <w:szCs w:val="24"/>
        </w:rPr>
        <w:t xml:space="preserve"> </w:t>
      </w:r>
      <w:proofErr w:type="spellStart"/>
      <w:r w:rsidRPr="00AC6BDD">
        <w:rPr>
          <w:sz w:val="24"/>
          <w:szCs w:val="24"/>
        </w:rPr>
        <w:t>Charge</w:t>
      </w:r>
      <w:proofErr w:type="spellEnd"/>
      <w:r w:rsidRPr="00AC6BDD">
        <w:rPr>
          <w:sz w:val="24"/>
          <w:szCs w:val="24"/>
        </w:rPr>
        <w:t xml:space="preserve"> </w:t>
      </w:r>
      <w:proofErr w:type="spellStart"/>
      <w:r w:rsidRPr="00AC6BDD">
        <w:rPr>
          <w:sz w:val="24"/>
          <w:szCs w:val="24"/>
        </w:rPr>
        <w:t>Point</w:t>
      </w:r>
      <w:proofErr w:type="spellEnd"/>
      <w:r w:rsidRPr="00AC6BDD">
        <w:rPr>
          <w:sz w:val="24"/>
          <w:szCs w:val="24"/>
        </w:rPr>
        <w:t xml:space="preserve"> </w:t>
      </w:r>
      <w:proofErr w:type="spellStart"/>
      <w:r w:rsidRPr="00AC6BDD">
        <w:rPr>
          <w:sz w:val="24"/>
          <w:szCs w:val="24"/>
        </w:rPr>
        <w:t>Protocol</w:t>
      </w:r>
      <w:proofErr w:type="spellEnd"/>
      <w:r w:rsidRPr="00AC6BDD">
        <w:rPr>
          <w:sz w:val="24"/>
          <w:szCs w:val="24"/>
        </w:rPr>
        <w:t>”</w:t>
      </w:r>
      <w:r w:rsidRPr="00AC6BDD">
        <w:rPr>
          <w:sz w:val="24"/>
          <w:szCs w:val="24"/>
          <w:lang w:val="en-GB"/>
        </w:rPr>
        <w:t xml:space="preserve"> </w:t>
      </w:r>
      <w:r w:rsidRPr="00AC6BDD">
        <w:rPr>
          <w:sz w:val="24"/>
          <w:szCs w:val="24"/>
        </w:rPr>
        <w:t>specifikacijoje nurodytos informacijos perdavimą į EIS.</w:t>
      </w:r>
    </w:p>
    <w:p w:rsidR="00AC6BDD" w:rsidRDefault="00AC6BDD" w:rsidP="00AC6BDD">
      <w:pPr>
        <w:spacing w:line="276" w:lineRule="auto"/>
        <w:ind w:firstLine="709"/>
        <w:jc w:val="both"/>
        <w:rPr>
          <w:sz w:val="24"/>
          <w:szCs w:val="24"/>
        </w:rPr>
      </w:pPr>
      <w:r>
        <w:rPr>
          <w:sz w:val="24"/>
          <w:szCs w:val="24"/>
        </w:rPr>
        <w:t>2</w:t>
      </w:r>
      <w:r w:rsidR="00287E35">
        <w:rPr>
          <w:sz w:val="24"/>
          <w:szCs w:val="24"/>
        </w:rPr>
        <w:t>8</w:t>
      </w:r>
      <w:r w:rsidRPr="00AC6BDD">
        <w:rPr>
          <w:sz w:val="24"/>
          <w:szCs w:val="24"/>
        </w:rPr>
        <w:t>. Pastatymo tipai: pastatoma ant tvirto pagrindo.</w:t>
      </w:r>
    </w:p>
    <w:p w:rsidR="00AC6BDD" w:rsidRPr="00AC6BDD" w:rsidRDefault="00AC6BDD" w:rsidP="00AC6BDD">
      <w:pPr>
        <w:spacing w:line="276" w:lineRule="auto"/>
        <w:ind w:firstLine="709"/>
        <w:jc w:val="both"/>
        <w:rPr>
          <w:sz w:val="24"/>
          <w:szCs w:val="24"/>
        </w:rPr>
      </w:pPr>
      <w:r>
        <w:rPr>
          <w:sz w:val="24"/>
          <w:szCs w:val="24"/>
        </w:rPr>
        <w:t>2</w:t>
      </w:r>
      <w:r w:rsidR="00287E35">
        <w:rPr>
          <w:sz w:val="24"/>
          <w:szCs w:val="24"/>
        </w:rPr>
        <w:t>9</w:t>
      </w:r>
      <w:r>
        <w:rPr>
          <w:sz w:val="24"/>
          <w:szCs w:val="24"/>
        </w:rPr>
        <w:t xml:space="preserve">.  </w:t>
      </w:r>
      <w:bookmarkStart w:id="1" w:name="_Toc413141380"/>
      <w:r>
        <w:rPr>
          <w:sz w:val="24"/>
          <w:szCs w:val="24"/>
        </w:rPr>
        <w:t xml:space="preserve">  </w:t>
      </w:r>
      <w:r w:rsidRPr="00AC6BDD">
        <w:rPr>
          <w:sz w:val="24"/>
        </w:rPr>
        <w:t>Aplinkos sąlygos</w:t>
      </w:r>
      <w:bookmarkEnd w:id="1"/>
      <w:r w:rsidRPr="00AC6BDD">
        <w:rPr>
          <w:sz w:val="24"/>
        </w:rPr>
        <w:t>:</w:t>
      </w:r>
    </w:p>
    <w:p w:rsidR="00AC6BDD" w:rsidRPr="00E61A54" w:rsidRDefault="00AC6BDD" w:rsidP="00AC6BDD">
      <w:pPr>
        <w:pStyle w:val="TS111"/>
        <w:numPr>
          <w:ilvl w:val="0"/>
          <w:numId w:val="0"/>
        </w:numPr>
        <w:tabs>
          <w:tab w:val="left" w:pos="1134"/>
          <w:tab w:val="left" w:pos="1276"/>
        </w:tabs>
        <w:ind w:firstLine="709"/>
      </w:pPr>
      <w:r>
        <w:t>2</w:t>
      </w:r>
      <w:r w:rsidR="00287E35">
        <w:t>9</w:t>
      </w:r>
      <w:r>
        <w:t xml:space="preserve">.1.  </w:t>
      </w:r>
      <w:r w:rsidRPr="00E61A54">
        <w:t>Visi lauke montuojami įrenginiai turi būti suprojektuoti ir pagaminti veikti žemiau nurodytų minimalių aplinkos sąlygų ribose (jeigu reikalavimuose atskirai įrangai nenurodyta kitaip);</w:t>
      </w:r>
    </w:p>
    <w:p w:rsidR="00AC6BDD" w:rsidRPr="00E61A54" w:rsidRDefault="00AC6BDD" w:rsidP="00AC6BDD">
      <w:pPr>
        <w:pStyle w:val="TS111"/>
        <w:numPr>
          <w:ilvl w:val="0"/>
          <w:numId w:val="0"/>
        </w:numPr>
        <w:tabs>
          <w:tab w:val="left" w:pos="1134"/>
          <w:tab w:val="left" w:pos="1276"/>
        </w:tabs>
        <w:ind w:firstLine="709"/>
      </w:pPr>
      <w:r w:rsidRPr="00E61A54">
        <w:t xml:space="preserve"> </w:t>
      </w:r>
      <w:r>
        <w:t>2</w:t>
      </w:r>
      <w:r w:rsidR="00287E35">
        <w:t>9</w:t>
      </w:r>
      <w:r>
        <w:t xml:space="preserve">.2. </w:t>
      </w:r>
      <w:r w:rsidRPr="00E61A54">
        <w:t>įranga,  turi būti suprojektuota ir pagaminta veikti -30 – +45°C ribose;</w:t>
      </w:r>
    </w:p>
    <w:p w:rsidR="00AC6BDD" w:rsidRPr="00AC6BDD" w:rsidRDefault="00AC6BDD" w:rsidP="00AC6BDD">
      <w:pPr>
        <w:pStyle w:val="Caption"/>
        <w:rPr>
          <w:b w:val="0"/>
          <w:color w:val="auto"/>
          <w:sz w:val="24"/>
        </w:rPr>
      </w:pPr>
      <w:r w:rsidRPr="00AC6BDD">
        <w:rPr>
          <w:b w:val="0"/>
          <w:color w:val="auto"/>
          <w:sz w:val="24"/>
        </w:rPr>
        <w:t xml:space="preserve">Lentelė </w:t>
      </w:r>
      <w:r w:rsidRPr="00AC6BDD">
        <w:rPr>
          <w:b w:val="0"/>
          <w:color w:val="auto"/>
          <w:sz w:val="24"/>
        </w:rPr>
        <w:fldChar w:fldCharType="begin"/>
      </w:r>
      <w:r w:rsidRPr="00AC6BDD">
        <w:rPr>
          <w:b w:val="0"/>
          <w:color w:val="auto"/>
          <w:sz w:val="24"/>
        </w:rPr>
        <w:instrText xml:space="preserve"> SEQ Lentelė \* ARABIC </w:instrText>
      </w:r>
      <w:r w:rsidRPr="00AC6BDD">
        <w:rPr>
          <w:b w:val="0"/>
          <w:color w:val="auto"/>
          <w:sz w:val="24"/>
        </w:rPr>
        <w:fldChar w:fldCharType="separate"/>
      </w:r>
      <w:r w:rsidRPr="00AC6BDD">
        <w:rPr>
          <w:b w:val="0"/>
          <w:color w:val="auto"/>
          <w:sz w:val="24"/>
        </w:rPr>
        <w:t>1</w:t>
      </w:r>
      <w:r w:rsidRPr="00AC6BDD">
        <w:rPr>
          <w:b w:val="0"/>
          <w:color w:val="auto"/>
          <w:sz w:val="24"/>
        </w:rPr>
        <w:fldChar w:fldCharType="end"/>
      </w:r>
      <w:r w:rsidRPr="00AC6BDD">
        <w:rPr>
          <w:b w:val="0"/>
          <w:color w:val="auto"/>
          <w:sz w:val="24"/>
        </w:rPr>
        <w:t>. Aplinkos sąlygos.</w:t>
      </w:r>
    </w:p>
    <w:tbl>
      <w:tblPr>
        <w:tblW w:w="511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4708"/>
        <w:gridCol w:w="4718"/>
      </w:tblGrid>
      <w:tr w:rsidR="00AC6BDD" w:rsidRPr="00E61A54" w:rsidTr="004271B4">
        <w:tc>
          <w:tcPr>
            <w:tcW w:w="327" w:type="pct"/>
          </w:tcPr>
          <w:p w:rsidR="00AC6BDD" w:rsidRPr="00AC6BDD" w:rsidRDefault="00AC6BDD" w:rsidP="004271B4">
            <w:pPr>
              <w:rPr>
                <w:b/>
                <w:sz w:val="24"/>
              </w:rPr>
            </w:pPr>
            <w:r w:rsidRPr="00AC6BDD">
              <w:rPr>
                <w:b/>
                <w:sz w:val="24"/>
              </w:rPr>
              <w:t>Eil. Nr.</w:t>
            </w:r>
          </w:p>
        </w:tc>
        <w:tc>
          <w:tcPr>
            <w:tcW w:w="2334" w:type="pct"/>
            <w:vAlign w:val="center"/>
          </w:tcPr>
          <w:p w:rsidR="00AC6BDD" w:rsidRPr="00AC6BDD" w:rsidRDefault="00AC6BDD" w:rsidP="004271B4">
            <w:pPr>
              <w:rPr>
                <w:b/>
                <w:sz w:val="24"/>
              </w:rPr>
            </w:pPr>
            <w:r w:rsidRPr="00AC6BDD">
              <w:rPr>
                <w:b/>
                <w:sz w:val="24"/>
              </w:rPr>
              <w:t>Aplinkos sąlygos</w:t>
            </w:r>
          </w:p>
        </w:tc>
        <w:tc>
          <w:tcPr>
            <w:tcW w:w="2339" w:type="pct"/>
            <w:vAlign w:val="center"/>
          </w:tcPr>
          <w:p w:rsidR="00AC6BDD" w:rsidRPr="00AC6BDD" w:rsidRDefault="00AC6BDD" w:rsidP="004271B4">
            <w:pPr>
              <w:rPr>
                <w:b/>
                <w:sz w:val="24"/>
              </w:rPr>
            </w:pPr>
            <w:r w:rsidRPr="00AC6BDD">
              <w:rPr>
                <w:b/>
                <w:sz w:val="24"/>
              </w:rPr>
              <w:t>Įrenginių veikimo ribos</w:t>
            </w:r>
          </w:p>
        </w:tc>
      </w:tr>
      <w:tr w:rsidR="00AC6BDD" w:rsidRPr="00E61A54" w:rsidTr="004271B4">
        <w:tc>
          <w:tcPr>
            <w:tcW w:w="327" w:type="pct"/>
          </w:tcPr>
          <w:p w:rsidR="00AC6BDD" w:rsidRPr="00AC6BDD" w:rsidRDefault="00AC6BDD" w:rsidP="00AC6BDD">
            <w:pPr>
              <w:numPr>
                <w:ilvl w:val="0"/>
                <w:numId w:val="24"/>
              </w:numPr>
              <w:jc w:val="both"/>
              <w:rPr>
                <w:sz w:val="24"/>
              </w:rPr>
            </w:pPr>
          </w:p>
        </w:tc>
        <w:tc>
          <w:tcPr>
            <w:tcW w:w="2334" w:type="pct"/>
          </w:tcPr>
          <w:p w:rsidR="00AC6BDD" w:rsidRPr="00AC6BDD" w:rsidRDefault="00AC6BDD" w:rsidP="004271B4">
            <w:pPr>
              <w:rPr>
                <w:sz w:val="24"/>
              </w:rPr>
            </w:pPr>
            <w:r w:rsidRPr="00AC6BDD">
              <w:rPr>
                <w:sz w:val="24"/>
              </w:rPr>
              <w:t xml:space="preserve">Aplinkos temperatūra </w:t>
            </w:r>
          </w:p>
        </w:tc>
        <w:tc>
          <w:tcPr>
            <w:tcW w:w="2339" w:type="pct"/>
          </w:tcPr>
          <w:p w:rsidR="00AC6BDD" w:rsidRPr="00AC6BDD" w:rsidRDefault="00AC6BDD" w:rsidP="004271B4">
            <w:pPr>
              <w:rPr>
                <w:sz w:val="24"/>
              </w:rPr>
            </w:pPr>
            <w:r w:rsidRPr="00AC6BDD">
              <w:rPr>
                <w:sz w:val="24"/>
              </w:rPr>
              <w:t>-30 – +45°C</w:t>
            </w:r>
          </w:p>
        </w:tc>
      </w:tr>
      <w:tr w:rsidR="00AC6BDD" w:rsidRPr="00E61A54" w:rsidTr="004271B4">
        <w:trPr>
          <w:trHeight w:val="277"/>
        </w:trPr>
        <w:tc>
          <w:tcPr>
            <w:tcW w:w="327" w:type="pct"/>
          </w:tcPr>
          <w:p w:rsidR="00AC6BDD" w:rsidRPr="00AC6BDD" w:rsidRDefault="00AC6BDD" w:rsidP="00AC6BDD">
            <w:pPr>
              <w:numPr>
                <w:ilvl w:val="0"/>
                <w:numId w:val="24"/>
              </w:numPr>
              <w:jc w:val="both"/>
              <w:rPr>
                <w:sz w:val="24"/>
              </w:rPr>
            </w:pPr>
          </w:p>
        </w:tc>
        <w:tc>
          <w:tcPr>
            <w:tcW w:w="2334" w:type="pct"/>
          </w:tcPr>
          <w:p w:rsidR="00AC6BDD" w:rsidRPr="00AC6BDD" w:rsidRDefault="00AC6BDD" w:rsidP="004271B4">
            <w:pPr>
              <w:rPr>
                <w:sz w:val="24"/>
              </w:rPr>
            </w:pPr>
            <w:r w:rsidRPr="00AC6BDD">
              <w:rPr>
                <w:sz w:val="24"/>
              </w:rPr>
              <w:t>Elektromagnetinė ir elektrostatinė sauga</w:t>
            </w:r>
          </w:p>
        </w:tc>
        <w:tc>
          <w:tcPr>
            <w:tcW w:w="2339" w:type="pct"/>
          </w:tcPr>
          <w:p w:rsidR="00AC6BDD" w:rsidRPr="00AC6BDD" w:rsidRDefault="00AC6BDD" w:rsidP="004271B4">
            <w:pPr>
              <w:rPr>
                <w:sz w:val="24"/>
              </w:rPr>
            </w:pPr>
            <w:r w:rsidRPr="00AC6BDD">
              <w:rPr>
                <w:sz w:val="24"/>
              </w:rPr>
              <w:t>Standartinė</w:t>
            </w:r>
          </w:p>
        </w:tc>
      </w:tr>
      <w:tr w:rsidR="00AC6BDD" w:rsidRPr="00E61A54" w:rsidTr="004271B4">
        <w:tc>
          <w:tcPr>
            <w:tcW w:w="327" w:type="pct"/>
          </w:tcPr>
          <w:p w:rsidR="00AC6BDD" w:rsidRPr="00AC6BDD" w:rsidRDefault="00AC6BDD" w:rsidP="00AC6BDD">
            <w:pPr>
              <w:numPr>
                <w:ilvl w:val="0"/>
                <w:numId w:val="24"/>
              </w:numPr>
              <w:jc w:val="both"/>
              <w:rPr>
                <w:sz w:val="24"/>
              </w:rPr>
            </w:pPr>
          </w:p>
        </w:tc>
        <w:tc>
          <w:tcPr>
            <w:tcW w:w="2334" w:type="pct"/>
          </w:tcPr>
          <w:p w:rsidR="00AC6BDD" w:rsidRPr="00AC6BDD" w:rsidRDefault="00AC6BDD" w:rsidP="004271B4">
            <w:pPr>
              <w:rPr>
                <w:sz w:val="24"/>
              </w:rPr>
            </w:pPr>
            <w:r w:rsidRPr="00AC6BDD">
              <w:rPr>
                <w:sz w:val="24"/>
              </w:rPr>
              <w:t>Emisijos (radijo trikdžiai)</w:t>
            </w:r>
          </w:p>
        </w:tc>
        <w:tc>
          <w:tcPr>
            <w:tcW w:w="2339" w:type="pct"/>
          </w:tcPr>
          <w:p w:rsidR="00AC6BDD" w:rsidRPr="00AC6BDD" w:rsidRDefault="00AC6BDD" w:rsidP="004271B4">
            <w:pPr>
              <w:rPr>
                <w:sz w:val="24"/>
              </w:rPr>
            </w:pPr>
            <w:r w:rsidRPr="00AC6BDD">
              <w:rPr>
                <w:sz w:val="24"/>
              </w:rPr>
              <w:t>CISPR 22 klasė B (EN 55022 arba lygiavertis)</w:t>
            </w:r>
          </w:p>
        </w:tc>
      </w:tr>
      <w:tr w:rsidR="00AC6BDD" w:rsidRPr="00E61A54" w:rsidTr="004271B4">
        <w:tc>
          <w:tcPr>
            <w:tcW w:w="327" w:type="pct"/>
          </w:tcPr>
          <w:p w:rsidR="00AC6BDD" w:rsidRPr="00AC6BDD" w:rsidRDefault="00AC6BDD" w:rsidP="00AC6BDD">
            <w:pPr>
              <w:numPr>
                <w:ilvl w:val="0"/>
                <w:numId w:val="24"/>
              </w:numPr>
              <w:jc w:val="both"/>
              <w:rPr>
                <w:sz w:val="24"/>
              </w:rPr>
            </w:pPr>
          </w:p>
        </w:tc>
        <w:tc>
          <w:tcPr>
            <w:tcW w:w="2334" w:type="pct"/>
          </w:tcPr>
          <w:p w:rsidR="00AC6BDD" w:rsidRPr="00AC6BDD" w:rsidRDefault="00AC6BDD" w:rsidP="004271B4">
            <w:pPr>
              <w:rPr>
                <w:sz w:val="24"/>
              </w:rPr>
            </w:pPr>
            <w:r w:rsidRPr="00AC6BDD">
              <w:rPr>
                <w:sz w:val="24"/>
              </w:rPr>
              <w:t>Atsparumas radijo bangų poveikiui</w:t>
            </w:r>
          </w:p>
        </w:tc>
        <w:tc>
          <w:tcPr>
            <w:tcW w:w="2339" w:type="pct"/>
          </w:tcPr>
          <w:p w:rsidR="00AC6BDD" w:rsidRPr="00AC6BDD" w:rsidRDefault="00AC6BDD" w:rsidP="004271B4">
            <w:pPr>
              <w:rPr>
                <w:sz w:val="24"/>
              </w:rPr>
            </w:pPr>
            <w:r w:rsidRPr="00AC6BDD">
              <w:rPr>
                <w:sz w:val="24"/>
              </w:rPr>
              <w:t>IEC 61000-4-3 (arba lygiavertis)</w:t>
            </w:r>
          </w:p>
        </w:tc>
      </w:tr>
      <w:tr w:rsidR="00AC6BDD" w:rsidRPr="00E61A54" w:rsidTr="004271B4">
        <w:tc>
          <w:tcPr>
            <w:tcW w:w="327" w:type="pct"/>
          </w:tcPr>
          <w:p w:rsidR="00AC6BDD" w:rsidRPr="00AC6BDD" w:rsidRDefault="00AC6BDD" w:rsidP="00AC6BDD">
            <w:pPr>
              <w:numPr>
                <w:ilvl w:val="0"/>
                <w:numId w:val="24"/>
              </w:numPr>
              <w:jc w:val="both"/>
              <w:rPr>
                <w:sz w:val="24"/>
              </w:rPr>
            </w:pPr>
          </w:p>
        </w:tc>
        <w:tc>
          <w:tcPr>
            <w:tcW w:w="2334" w:type="pct"/>
          </w:tcPr>
          <w:p w:rsidR="00AC6BDD" w:rsidRPr="00AC6BDD" w:rsidRDefault="00AC6BDD" w:rsidP="004271B4">
            <w:pPr>
              <w:rPr>
                <w:sz w:val="24"/>
              </w:rPr>
            </w:pPr>
            <w:r w:rsidRPr="00AC6BDD">
              <w:rPr>
                <w:sz w:val="24"/>
              </w:rPr>
              <w:t>Atsparumas elektros iškrovoms</w:t>
            </w:r>
          </w:p>
        </w:tc>
        <w:tc>
          <w:tcPr>
            <w:tcW w:w="2339" w:type="pct"/>
          </w:tcPr>
          <w:p w:rsidR="00AC6BDD" w:rsidRPr="00AC6BDD" w:rsidRDefault="00AC6BDD" w:rsidP="004271B4">
            <w:pPr>
              <w:rPr>
                <w:sz w:val="24"/>
              </w:rPr>
            </w:pPr>
            <w:r w:rsidRPr="00AC6BDD">
              <w:rPr>
                <w:sz w:val="24"/>
              </w:rPr>
              <w:t>IEC 61000-4-4 (arba lygiavertis)</w:t>
            </w:r>
          </w:p>
        </w:tc>
      </w:tr>
      <w:tr w:rsidR="00AC6BDD" w:rsidRPr="00E61A54" w:rsidTr="004271B4">
        <w:tc>
          <w:tcPr>
            <w:tcW w:w="327" w:type="pct"/>
          </w:tcPr>
          <w:p w:rsidR="00AC6BDD" w:rsidRPr="00AC6BDD" w:rsidRDefault="00AC6BDD" w:rsidP="00AC6BDD">
            <w:pPr>
              <w:numPr>
                <w:ilvl w:val="0"/>
                <w:numId w:val="24"/>
              </w:numPr>
              <w:jc w:val="both"/>
              <w:rPr>
                <w:sz w:val="24"/>
              </w:rPr>
            </w:pPr>
          </w:p>
        </w:tc>
        <w:tc>
          <w:tcPr>
            <w:tcW w:w="2334" w:type="pct"/>
          </w:tcPr>
          <w:p w:rsidR="00AC6BDD" w:rsidRPr="00AC6BDD" w:rsidRDefault="00AC6BDD" w:rsidP="004271B4">
            <w:pPr>
              <w:rPr>
                <w:sz w:val="24"/>
              </w:rPr>
            </w:pPr>
            <w:r w:rsidRPr="00AC6BDD">
              <w:rPr>
                <w:sz w:val="24"/>
              </w:rPr>
              <w:t>Atsparumas statinei elektrai</w:t>
            </w:r>
          </w:p>
        </w:tc>
        <w:tc>
          <w:tcPr>
            <w:tcW w:w="2339" w:type="pct"/>
          </w:tcPr>
          <w:p w:rsidR="00AC6BDD" w:rsidRPr="00AC6BDD" w:rsidRDefault="00AC6BDD" w:rsidP="004271B4">
            <w:pPr>
              <w:rPr>
                <w:sz w:val="24"/>
              </w:rPr>
            </w:pPr>
            <w:r w:rsidRPr="00AC6BDD">
              <w:rPr>
                <w:sz w:val="24"/>
              </w:rPr>
              <w:t>IEC 61000-4-2 (arba lygiavertis)</w:t>
            </w:r>
          </w:p>
        </w:tc>
      </w:tr>
      <w:tr w:rsidR="00AC6BDD" w:rsidRPr="00E61A54" w:rsidTr="004271B4">
        <w:tc>
          <w:tcPr>
            <w:tcW w:w="327" w:type="pct"/>
          </w:tcPr>
          <w:p w:rsidR="00AC6BDD" w:rsidRPr="00AC6BDD" w:rsidRDefault="00AC6BDD" w:rsidP="00AC6BDD">
            <w:pPr>
              <w:numPr>
                <w:ilvl w:val="0"/>
                <w:numId w:val="24"/>
              </w:numPr>
              <w:jc w:val="both"/>
              <w:rPr>
                <w:sz w:val="24"/>
              </w:rPr>
            </w:pPr>
          </w:p>
        </w:tc>
        <w:tc>
          <w:tcPr>
            <w:tcW w:w="2334" w:type="pct"/>
          </w:tcPr>
          <w:p w:rsidR="00AC6BDD" w:rsidRPr="00AC6BDD" w:rsidRDefault="00AC6BDD" w:rsidP="004271B4">
            <w:pPr>
              <w:rPr>
                <w:sz w:val="24"/>
              </w:rPr>
            </w:pPr>
            <w:r w:rsidRPr="00AC6BDD">
              <w:rPr>
                <w:sz w:val="24"/>
              </w:rPr>
              <w:t>Atsparumas radijo bangų indukcijai</w:t>
            </w:r>
          </w:p>
        </w:tc>
        <w:tc>
          <w:tcPr>
            <w:tcW w:w="2339" w:type="pct"/>
          </w:tcPr>
          <w:p w:rsidR="00AC6BDD" w:rsidRPr="00AC6BDD" w:rsidRDefault="00AC6BDD" w:rsidP="004271B4">
            <w:pPr>
              <w:rPr>
                <w:sz w:val="24"/>
              </w:rPr>
            </w:pPr>
            <w:r w:rsidRPr="00AC6BDD">
              <w:rPr>
                <w:sz w:val="24"/>
              </w:rPr>
              <w:t>IEC 61000-4-6 (arba lygiavertis)</w:t>
            </w:r>
          </w:p>
        </w:tc>
      </w:tr>
      <w:tr w:rsidR="00AC6BDD" w:rsidRPr="00E61A54" w:rsidTr="004271B4">
        <w:tc>
          <w:tcPr>
            <w:tcW w:w="327" w:type="pct"/>
          </w:tcPr>
          <w:p w:rsidR="00AC6BDD" w:rsidRPr="00AC6BDD" w:rsidRDefault="00AC6BDD" w:rsidP="00AC6BDD">
            <w:pPr>
              <w:numPr>
                <w:ilvl w:val="0"/>
                <w:numId w:val="24"/>
              </w:numPr>
              <w:jc w:val="both"/>
              <w:rPr>
                <w:sz w:val="24"/>
              </w:rPr>
            </w:pPr>
          </w:p>
        </w:tc>
        <w:tc>
          <w:tcPr>
            <w:tcW w:w="2334" w:type="pct"/>
          </w:tcPr>
          <w:p w:rsidR="00AC6BDD" w:rsidRPr="00AC6BDD" w:rsidRDefault="00AC6BDD" w:rsidP="004271B4">
            <w:pPr>
              <w:rPr>
                <w:sz w:val="24"/>
              </w:rPr>
            </w:pPr>
            <w:r w:rsidRPr="00AC6BDD">
              <w:rPr>
                <w:sz w:val="24"/>
              </w:rPr>
              <w:t>Veikimo laikas</w:t>
            </w:r>
          </w:p>
        </w:tc>
        <w:tc>
          <w:tcPr>
            <w:tcW w:w="2339" w:type="pct"/>
          </w:tcPr>
          <w:p w:rsidR="00AC6BDD" w:rsidRPr="00AC6BDD" w:rsidRDefault="00AC6BDD" w:rsidP="004271B4">
            <w:pPr>
              <w:rPr>
                <w:sz w:val="24"/>
              </w:rPr>
            </w:pPr>
            <w:r w:rsidRPr="00AC6BDD">
              <w:rPr>
                <w:sz w:val="24"/>
              </w:rPr>
              <w:t>24 val. per parą 7 paras per savaitę 365 dienas per metus</w:t>
            </w:r>
          </w:p>
        </w:tc>
      </w:tr>
    </w:tbl>
    <w:p w:rsidR="00AC6BDD" w:rsidRDefault="00AC6BDD" w:rsidP="00AC6BDD">
      <w:pPr>
        <w:tabs>
          <w:tab w:val="left" w:pos="720"/>
          <w:tab w:val="left" w:pos="851"/>
          <w:tab w:val="left" w:pos="1134"/>
        </w:tabs>
        <w:jc w:val="both"/>
        <w:rPr>
          <w:sz w:val="24"/>
          <w:szCs w:val="24"/>
        </w:rPr>
      </w:pPr>
    </w:p>
    <w:p w:rsidR="00AC6BDD" w:rsidRDefault="00AC6BDD" w:rsidP="00AC6BDD">
      <w:pPr>
        <w:tabs>
          <w:tab w:val="left" w:pos="720"/>
          <w:tab w:val="left" w:pos="851"/>
          <w:tab w:val="left" w:pos="1134"/>
        </w:tabs>
        <w:jc w:val="both"/>
      </w:pPr>
    </w:p>
    <w:p w:rsidR="00E063D8" w:rsidRPr="00AC6BDD" w:rsidRDefault="00E063D8" w:rsidP="00AC6BDD">
      <w:pPr>
        <w:pStyle w:val="TS12"/>
        <w:numPr>
          <w:ilvl w:val="0"/>
          <w:numId w:val="0"/>
        </w:numPr>
        <w:spacing w:before="0"/>
        <w:ind w:left="567"/>
        <w:jc w:val="center"/>
        <w:rPr>
          <w:rFonts w:cs="Times New Roman"/>
        </w:rPr>
      </w:pPr>
      <w:r>
        <w:t>I</w:t>
      </w:r>
      <w:r w:rsidR="00AC6BDD">
        <w:t>V</w:t>
      </w:r>
      <w:r>
        <w:t xml:space="preserve">. </w:t>
      </w:r>
      <w:r w:rsidR="00AC6BDD" w:rsidRPr="009B7615">
        <w:rPr>
          <w:rFonts w:cs="Times New Roman"/>
        </w:rPr>
        <w:t>ELEKTROMOBILIŲ ĮKROVIMO PRIEIGOS OPERATORIAUS FUNKCIJOS IR ATSAKOMYBĖS</w:t>
      </w:r>
    </w:p>
    <w:p w:rsidR="00E063D8" w:rsidRDefault="00E063D8" w:rsidP="00E063D8">
      <w:pPr>
        <w:tabs>
          <w:tab w:val="left" w:pos="284"/>
          <w:tab w:val="left" w:pos="426"/>
        </w:tabs>
        <w:ind w:left="567"/>
        <w:jc w:val="center"/>
      </w:pPr>
    </w:p>
    <w:p w:rsidR="00AC6BDD" w:rsidRPr="009B7615" w:rsidRDefault="00287E35" w:rsidP="00AC6BDD">
      <w:pPr>
        <w:pStyle w:val="TS11"/>
        <w:numPr>
          <w:ilvl w:val="0"/>
          <w:numId w:val="0"/>
        </w:numPr>
        <w:tabs>
          <w:tab w:val="clear" w:pos="1418"/>
          <w:tab w:val="left" w:pos="993"/>
        </w:tabs>
        <w:spacing w:before="0"/>
        <w:ind w:firstLine="709"/>
        <w:rPr>
          <w:rFonts w:cs="Times New Roman"/>
        </w:rPr>
      </w:pPr>
      <w:r>
        <w:t>30</w:t>
      </w:r>
      <w:r w:rsidR="00E063D8">
        <w:t xml:space="preserve">.  </w:t>
      </w:r>
      <w:r w:rsidR="00AC6BDD">
        <w:t xml:space="preserve"> </w:t>
      </w:r>
      <w:r w:rsidR="00AC6BDD" w:rsidRPr="009B7615">
        <w:rPr>
          <w:rFonts w:cs="Times New Roman"/>
        </w:rPr>
        <w:t>Operatorius turi užtikrinti įkrovimo prieigos funkcionavimą ir elektromobilių įkrovimo stotelių infrastruktūros sistemos palaikymą, kuris apima:</w:t>
      </w:r>
    </w:p>
    <w:p w:rsidR="00AC6BDD" w:rsidRPr="009B7615" w:rsidRDefault="00287E35" w:rsidP="00AC6BDD">
      <w:pPr>
        <w:pStyle w:val="TS111"/>
        <w:numPr>
          <w:ilvl w:val="0"/>
          <w:numId w:val="0"/>
        </w:numPr>
        <w:tabs>
          <w:tab w:val="left" w:pos="1134"/>
          <w:tab w:val="left" w:pos="1276"/>
        </w:tabs>
        <w:ind w:firstLine="709"/>
        <w:rPr>
          <w:rFonts w:cs="Times New Roman"/>
        </w:rPr>
      </w:pPr>
      <w:r>
        <w:rPr>
          <w:rFonts w:cs="Times New Roman"/>
        </w:rPr>
        <w:t>30</w:t>
      </w:r>
      <w:r w:rsidR="00AC6BDD">
        <w:rPr>
          <w:rFonts w:cs="Times New Roman"/>
        </w:rPr>
        <w:t>.1  s</w:t>
      </w:r>
      <w:r w:rsidR="00AC6BDD" w:rsidRPr="009B7615">
        <w:rPr>
          <w:rFonts w:cs="Times New Roman"/>
        </w:rPr>
        <w:t>istemos ir mokesčių administravimą, jeigu tokie taikomi;</w:t>
      </w:r>
    </w:p>
    <w:p w:rsidR="00AC6BDD" w:rsidRPr="009B7615" w:rsidRDefault="00287E35" w:rsidP="00AC6BDD">
      <w:pPr>
        <w:pStyle w:val="TS111"/>
        <w:numPr>
          <w:ilvl w:val="0"/>
          <w:numId w:val="0"/>
        </w:numPr>
        <w:tabs>
          <w:tab w:val="left" w:pos="1134"/>
          <w:tab w:val="left" w:pos="1276"/>
        </w:tabs>
        <w:ind w:firstLine="709"/>
        <w:rPr>
          <w:rFonts w:cs="Times New Roman"/>
        </w:rPr>
      </w:pPr>
      <w:r>
        <w:rPr>
          <w:rFonts w:cs="Times New Roman"/>
        </w:rPr>
        <w:t>30</w:t>
      </w:r>
      <w:r w:rsidR="00AC6BDD">
        <w:rPr>
          <w:rFonts w:cs="Times New Roman"/>
        </w:rPr>
        <w:t>.2.  s</w:t>
      </w:r>
      <w:r w:rsidR="00AC6BDD" w:rsidRPr="009B7615">
        <w:rPr>
          <w:rFonts w:cs="Times New Roman"/>
        </w:rPr>
        <w:t>istemos integraciją į vieningą Vilniaus miesto infrastruktūros tinklą arba nacionalinį elektromobilių įkrovimo infrastruktūrų tinklą;</w:t>
      </w:r>
    </w:p>
    <w:p w:rsidR="00AC6BDD" w:rsidRPr="009B7615" w:rsidRDefault="00287E35" w:rsidP="00AC6BDD">
      <w:pPr>
        <w:pStyle w:val="TS111"/>
        <w:numPr>
          <w:ilvl w:val="0"/>
          <w:numId w:val="0"/>
        </w:numPr>
        <w:tabs>
          <w:tab w:val="left" w:pos="1134"/>
          <w:tab w:val="left" w:pos="1276"/>
        </w:tabs>
        <w:ind w:firstLine="709"/>
        <w:rPr>
          <w:rFonts w:cs="Times New Roman"/>
        </w:rPr>
      </w:pPr>
      <w:r>
        <w:rPr>
          <w:rFonts w:cs="Times New Roman"/>
        </w:rPr>
        <w:t>30</w:t>
      </w:r>
      <w:r w:rsidR="00AC6BDD">
        <w:rPr>
          <w:rFonts w:cs="Times New Roman"/>
        </w:rPr>
        <w:t>.3.  a</w:t>
      </w:r>
      <w:r w:rsidR="00AC6BDD" w:rsidRPr="009B7615">
        <w:rPr>
          <w:rFonts w:cs="Times New Roman"/>
        </w:rPr>
        <w:t>pmokėjimo ir vartotojų identifikavimo aplinką;</w:t>
      </w:r>
    </w:p>
    <w:p w:rsidR="00AC6BDD" w:rsidRPr="009B7615" w:rsidRDefault="00287E35" w:rsidP="00AC6BDD">
      <w:pPr>
        <w:pStyle w:val="TS111"/>
        <w:numPr>
          <w:ilvl w:val="0"/>
          <w:numId w:val="0"/>
        </w:numPr>
        <w:tabs>
          <w:tab w:val="left" w:pos="1134"/>
          <w:tab w:val="left" w:pos="1276"/>
        </w:tabs>
        <w:ind w:firstLine="709"/>
        <w:rPr>
          <w:rFonts w:cs="Times New Roman"/>
        </w:rPr>
      </w:pPr>
      <w:r>
        <w:rPr>
          <w:rFonts w:cs="Times New Roman"/>
        </w:rPr>
        <w:t>30</w:t>
      </w:r>
      <w:r w:rsidR="00AC6BDD">
        <w:rPr>
          <w:rFonts w:cs="Times New Roman"/>
        </w:rPr>
        <w:t>.4.  t</w:t>
      </w:r>
      <w:r w:rsidR="00AC6BDD" w:rsidRPr="009B7615">
        <w:rPr>
          <w:rFonts w:cs="Times New Roman"/>
        </w:rPr>
        <w:t xml:space="preserve">echninės įrangos </w:t>
      </w:r>
      <w:proofErr w:type="spellStart"/>
      <w:r w:rsidR="00AC6BDD" w:rsidRPr="009B7615">
        <w:rPr>
          <w:rFonts w:cs="Times New Roman"/>
        </w:rPr>
        <w:t>pogarantinį</w:t>
      </w:r>
      <w:proofErr w:type="spellEnd"/>
      <w:r w:rsidR="00AC6BDD" w:rsidRPr="009B7615">
        <w:rPr>
          <w:rFonts w:cs="Times New Roman"/>
        </w:rPr>
        <w:t xml:space="preserve"> aptarnavimą;</w:t>
      </w:r>
    </w:p>
    <w:p w:rsidR="00AC6BDD" w:rsidRPr="009B7615" w:rsidRDefault="00287E35" w:rsidP="00AC6BDD">
      <w:pPr>
        <w:pStyle w:val="TS11"/>
        <w:numPr>
          <w:ilvl w:val="0"/>
          <w:numId w:val="0"/>
        </w:numPr>
        <w:tabs>
          <w:tab w:val="clear" w:pos="1418"/>
          <w:tab w:val="left" w:pos="993"/>
        </w:tabs>
        <w:spacing w:before="0"/>
        <w:ind w:firstLine="709"/>
        <w:rPr>
          <w:rFonts w:cs="Times New Roman"/>
        </w:rPr>
      </w:pPr>
      <w:r>
        <w:rPr>
          <w:rFonts w:cs="Times New Roman"/>
        </w:rPr>
        <w:t>30</w:t>
      </w:r>
      <w:r w:rsidR="00AC6BDD">
        <w:rPr>
          <w:rFonts w:cs="Times New Roman"/>
        </w:rPr>
        <w:t>.5.  o</w:t>
      </w:r>
      <w:r w:rsidR="00AC6BDD" w:rsidRPr="009B7615">
        <w:rPr>
          <w:rFonts w:cs="Times New Roman"/>
        </w:rPr>
        <w:t>peratorius turi užtikrinti vartotojų aptarnavimą, kuris apima:</w:t>
      </w:r>
    </w:p>
    <w:p w:rsidR="00AC6BDD" w:rsidRPr="009B7615" w:rsidRDefault="00287E35" w:rsidP="00AC6BDD">
      <w:pPr>
        <w:pStyle w:val="TS111"/>
        <w:numPr>
          <w:ilvl w:val="0"/>
          <w:numId w:val="0"/>
        </w:numPr>
        <w:tabs>
          <w:tab w:val="clear" w:pos="1701"/>
          <w:tab w:val="left" w:pos="1134"/>
        </w:tabs>
        <w:ind w:firstLine="709"/>
        <w:rPr>
          <w:rFonts w:cs="Times New Roman"/>
        </w:rPr>
      </w:pPr>
      <w:r>
        <w:rPr>
          <w:rFonts w:cs="Times New Roman"/>
        </w:rPr>
        <w:t>30</w:t>
      </w:r>
      <w:r w:rsidR="00AC6BDD">
        <w:rPr>
          <w:rFonts w:cs="Times New Roman"/>
        </w:rPr>
        <w:t>.6.  d</w:t>
      </w:r>
      <w:r w:rsidR="00AC6BDD" w:rsidRPr="009B7615">
        <w:rPr>
          <w:rFonts w:cs="Times New Roman"/>
        </w:rPr>
        <w:t xml:space="preserve">uomenų pateikimą apie viešąsias įkrovimo prieigas, jų geografinę vietą ir technines </w:t>
      </w:r>
      <w:r w:rsidR="00AC6BDD" w:rsidRPr="009B7615">
        <w:rPr>
          <w:rFonts w:cs="Times New Roman"/>
        </w:rPr>
        <w:lastRenderedPageBreak/>
        <w:t>charakteristikas, kurie būtų pasiekiami prie visų elektromobilių įkrovimo prieigų ir atviroje duomenų bazėje;</w:t>
      </w:r>
    </w:p>
    <w:p w:rsidR="00AC6BDD" w:rsidRPr="009B7615" w:rsidRDefault="00287E35" w:rsidP="00AC6BDD">
      <w:pPr>
        <w:pStyle w:val="TS111"/>
        <w:numPr>
          <w:ilvl w:val="0"/>
          <w:numId w:val="0"/>
        </w:numPr>
        <w:tabs>
          <w:tab w:val="clear" w:pos="1701"/>
          <w:tab w:val="left" w:pos="1134"/>
        </w:tabs>
        <w:ind w:firstLine="709"/>
        <w:rPr>
          <w:rFonts w:cs="Times New Roman"/>
        </w:rPr>
      </w:pPr>
      <w:r>
        <w:rPr>
          <w:rFonts w:cs="Times New Roman"/>
        </w:rPr>
        <w:t>30</w:t>
      </w:r>
      <w:r w:rsidR="00AC6BDD">
        <w:rPr>
          <w:rFonts w:cs="Times New Roman"/>
        </w:rPr>
        <w:t>.7  v</w:t>
      </w:r>
      <w:r w:rsidR="00AC6BDD" w:rsidRPr="009B7615">
        <w:rPr>
          <w:rFonts w:cs="Times New Roman"/>
        </w:rPr>
        <w:t>artotojų aptarnavimą telefonu 24 valandas per parą, 7 dienas į savaitę;</w:t>
      </w:r>
    </w:p>
    <w:p w:rsidR="00AC6BDD" w:rsidRPr="009B7615" w:rsidRDefault="00287E35" w:rsidP="00AC6BDD">
      <w:pPr>
        <w:pStyle w:val="TS111"/>
        <w:numPr>
          <w:ilvl w:val="0"/>
          <w:numId w:val="0"/>
        </w:numPr>
        <w:tabs>
          <w:tab w:val="clear" w:pos="1701"/>
          <w:tab w:val="left" w:pos="0"/>
        </w:tabs>
        <w:ind w:firstLine="709"/>
        <w:rPr>
          <w:rFonts w:cs="Times New Roman"/>
        </w:rPr>
      </w:pPr>
      <w:r>
        <w:rPr>
          <w:rFonts w:cs="Times New Roman"/>
        </w:rPr>
        <w:t>30</w:t>
      </w:r>
      <w:r w:rsidR="00AC6BDD">
        <w:rPr>
          <w:rFonts w:cs="Times New Roman"/>
        </w:rPr>
        <w:t>.8.  s</w:t>
      </w:r>
      <w:r w:rsidR="00AC6BDD" w:rsidRPr="009B7615">
        <w:rPr>
          <w:rFonts w:cs="Times New Roman"/>
        </w:rPr>
        <w:t>kubų įrangos taisymą ir kitus būtinus darbus, reikalingus užtikrinti kokybiškam įkrovimo paslaugos teikimui 24 valandas per parą, 7 dienas į savaitę;</w:t>
      </w:r>
    </w:p>
    <w:p w:rsidR="00AC6BDD" w:rsidRPr="009B7615" w:rsidRDefault="00287E35" w:rsidP="00AC6BDD">
      <w:pPr>
        <w:pStyle w:val="TS111"/>
        <w:numPr>
          <w:ilvl w:val="0"/>
          <w:numId w:val="0"/>
        </w:numPr>
        <w:tabs>
          <w:tab w:val="clear" w:pos="1701"/>
          <w:tab w:val="left" w:pos="1134"/>
        </w:tabs>
        <w:ind w:firstLine="709"/>
        <w:rPr>
          <w:rFonts w:cs="Times New Roman"/>
        </w:rPr>
      </w:pPr>
      <w:r>
        <w:rPr>
          <w:rFonts w:cs="Times New Roman"/>
        </w:rPr>
        <w:t>30</w:t>
      </w:r>
      <w:r w:rsidR="00AC6BDD">
        <w:rPr>
          <w:rFonts w:cs="Times New Roman"/>
        </w:rPr>
        <w:t>.9.  t</w:t>
      </w:r>
      <w:r w:rsidR="00AC6BDD" w:rsidRPr="009B7615">
        <w:rPr>
          <w:rFonts w:cs="Times New Roman"/>
        </w:rPr>
        <w:t>echninę pagalbą vartotojams 24 valandas per parą, 7 dienas į savaitę, kai dėl techninio sutrikimo neveikia įkrovimo stotelė, o vairuotojas nebegali sava eiga pasiekti kitos artimiausios įkrovimo stotelės;</w:t>
      </w:r>
      <w:r w:rsidR="00AC6BDD">
        <w:rPr>
          <w:rFonts w:cs="Times New Roman"/>
        </w:rPr>
        <w:t>.</w:t>
      </w:r>
    </w:p>
    <w:p w:rsidR="00AC6BDD" w:rsidRPr="009B7615" w:rsidRDefault="00AC6BDD" w:rsidP="00AC6BDD">
      <w:pPr>
        <w:pStyle w:val="TS11"/>
        <w:numPr>
          <w:ilvl w:val="0"/>
          <w:numId w:val="0"/>
        </w:numPr>
        <w:spacing w:before="0"/>
        <w:ind w:firstLine="709"/>
        <w:rPr>
          <w:rFonts w:cs="Times New Roman"/>
        </w:rPr>
      </w:pPr>
      <w:r>
        <w:rPr>
          <w:rFonts w:cs="Times New Roman"/>
        </w:rPr>
        <w:t>3</w:t>
      </w:r>
      <w:r w:rsidR="00287E35">
        <w:rPr>
          <w:rFonts w:cs="Times New Roman"/>
        </w:rPr>
        <w:t>1</w:t>
      </w:r>
      <w:r>
        <w:rPr>
          <w:rFonts w:cs="Times New Roman"/>
        </w:rPr>
        <w:t xml:space="preserve">.  </w:t>
      </w:r>
      <w:r w:rsidRPr="009B7615">
        <w:rPr>
          <w:rFonts w:cs="Times New Roman"/>
        </w:rPr>
        <w:t>Operatorius turi užtikrinti draudimo, elektromobilių įkrovimo stotelių infrastruktūros palaikymo ir aptarnavimo sąnaudų dengimą</w:t>
      </w:r>
      <w:r>
        <w:rPr>
          <w:rFonts w:cs="Times New Roman"/>
        </w:rPr>
        <w:t>.</w:t>
      </w:r>
    </w:p>
    <w:p w:rsidR="00AC6BDD" w:rsidRDefault="00AC6BDD" w:rsidP="00AC6BDD">
      <w:pPr>
        <w:pStyle w:val="TS11"/>
        <w:numPr>
          <w:ilvl w:val="0"/>
          <w:numId w:val="0"/>
        </w:numPr>
        <w:spacing w:before="0"/>
        <w:ind w:firstLine="709"/>
        <w:rPr>
          <w:rFonts w:cs="Times New Roman"/>
        </w:rPr>
      </w:pPr>
      <w:r>
        <w:rPr>
          <w:rFonts w:cs="Times New Roman"/>
        </w:rPr>
        <w:t>3</w:t>
      </w:r>
      <w:r w:rsidR="00287E35">
        <w:rPr>
          <w:rFonts w:cs="Times New Roman"/>
        </w:rPr>
        <w:t>2</w:t>
      </w:r>
      <w:r>
        <w:rPr>
          <w:rFonts w:cs="Times New Roman"/>
        </w:rPr>
        <w:t xml:space="preserve">.  </w:t>
      </w:r>
      <w:r w:rsidRPr="009B7615">
        <w:rPr>
          <w:rFonts w:cs="Times New Roman"/>
        </w:rPr>
        <w:t>Operatorius turi užtikrinti vienodas naudojimosi sąlygas visiems vartotojams.</w:t>
      </w:r>
    </w:p>
    <w:p w:rsidR="00040917" w:rsidRDefault="00040917" w:rsidP="00AC6BDD">
      <w:pPr>
        <w:pStyle w:val="TS11"/>
        <w:numPr>
          <w:ilvl w:val="0"/>
          <w:numId w:val="0"/>
        </w:numPr>
        <w:spacing w:before="0"/>
        <w:ind w:firstLine="709"/>
        <w:rPr>
          <w:rFonts w:cs="Times New Roman"/>
        </w:rPr>
      </w:pPr>
    </w:p>
    <w:p w:rsidR="00040917" w:rsidRPr="009B7615" w:rsidRDefault="00040917" w:rsidP="00040917">
      <w:pPr>
        <w:pStyle w:val="TS12"/>
        <w:numPr>
          <w:ilvl w:val="0"/>
          <w:numId w:val="0"/>
        </w:numPr>
        <w:spacing w:before="0"/>
        <w:ind w:left="716" w:hanging="432"/>
        <w:jc w:val="center"/>
        <w:rPr>
          <w:rFonts w:cs="Times New Roman"/>
        </w:rPr>
      </w:pPr>
      <w:r>
        <w:rPr>
          <w:rFonts w:cs="Times New Roman"/>
        </w:rPr>
        <w:t xml:space="preserve">V.  </w:t>
      </w:r>
      <w:r w:rsidR="00287E35" w:rsidRPr="009B7615">
        <w:rPr>
          <w:rFonts w:cs="Times New Roman"/>
        </w:rPr>
        <w:t>ELEKTROMOBILIŲ ĮKROVIMO PRIEIGOS NAUDOJIMOSI TVARKA</w:t>
      </w:r>
    </w:p>
    <w:p w:rsidR="00040917" w:rsidRPr="009B7615" w:rsidRDefault="00040917" w:rsidP="00AC6BDD">
      <w:pPr>
        <w:pStyle w:val="TS11"/>
        <w:numPr>
          <w:ilvl w:val="0"/>
          <w:numId w:val="0"/>
        </w:numPr>
        <w:spacing w:before="0"/>
        <w:ind w:firstLine="709"/>
        <w:rPr>
          <w:rFonts w:cs="Times New Roman"/>
        </w:rPr>
      </w:pPr>
    </w:p>
    <w:p w:rsidR="00213CEF" w:rsidRPr="009B7615" w:rsidRDefault="00213CEF" w:rsidP="0007707A">
      <w:pPr>
        <w:pStyle w:val="TS11"/>
        <w:numPr>
          <w:ilvl w:val="0"/>
          <w:numId w:val="0"/>
        </w:numPr>
        <w:spacing w:before="0"/>
        <w:ind w:firstLine="709"/>
        <w:rPr>
          <w:rFonts w:cs="Times New Roman"/>
        </w:rPr>
      </w:pPr>
      <w:r>
        <w:rPr>
          <w:rFonts w:cs="Times New Roman"/>
        </w:rPr>
        <w:t>3</w:t>
      </w:r>
      <w:r w:rsidR="00287E35">
        <w:rPr>
          <w:rFonts w:cs="Times New Roman"/>
        </w:rPr>
        <w:t>3</w:t>
      </w:r>
      <w:r>
        <w:rPr>
          <w:rFonts w:cs="Times New Roman"/>
        </w:rPr>
        <w:t xml:space="preserve">.  </w:t>
      </w:r>
      <w:r w:rsidRPr="009B7615">
        <w:rPr>
          <w:rFonts w:cs="Times New Roman"/>
        </w:rPr>
        <w:t>Elektromobilių įkrovimo stotele gali naudotis tik registruoti/identifikuoti vartotojai, kurių identifikavimas vykdomas RFID kortelėmis, mobiliuoju telefonu arba kitu Operatoriaus nustatytu būdu. Kortelės išduodamos Operatoriaus Klientų aptarnavimo centruose arba kitose oficialiose kortelių išdavimo vietose, nurodytose Operatoriaus interneto svetainėje.</w:t>
      </w:r>
    </w:p>
    <w:p w:rsidR="00213CEF" w:rsidRPr="009B7615" w:rsidRDefault="00213CEF" w:rsidP="0007707A">
      <w:pPr>
        <w:pStyle w:val="TS11"/>
        <w:numPr>
          <w:ilvl w:val="0"/>
          <w:numId w:val="0"/>
        </w:numPr>
        <w:spacing w:before="0"/>
        <w:ind w:firstLine="709"/>
        <w:rPr>
          <w:rFonts w:cs="Times New Roman"/>
        </w:rPr>
      </w:pPr>
      <w:r>
        <w:rPr>
          <w:rFonts w:cs="Times New Roman"/>
        </w:rPr>
        <w:t>3</w:t>
      </w:r>
      <w:r w:rsidR="00287E35">
        <w:rPr>
          <w:rFonts w:cs="Times New Roman"/>
        </w:rPr>
        <w:t>4</w:t>
      </w:r>
      <w:r>
        <w:rPr>
          <w:rFonts w:cs="Times New Roman"/>
        </w:rPr>
        <w:t xml:space="preserve">.  </w:t>
      </w:r>
      <w:r w:rsidRPr="009B7615">
        <w:rPr>
          <w:rFonts w:cs="Times New Roman"/>
        </w:rPr>
        <w:t>Stotele gali naudotis tik pilnai elektra varomų ir įkraunamų automobilių vairuotojai (valdytojai).</w:t>
      </w:r>
    </w:p>
    <w:p w:rsidR="00213CEF" w:rsidRPr="009B7615" w:rsidRDefault="00213CEF" w:rsidP="0007707A">
      <w:pPr>
        <w:pStyle w:val="TS11"/>
        <w:numPr>
          <w:ilvl w:val="0"/>
          <w:numId w:val="0"/>
        </w:numPr>
        <w:spacing w:before="0"/>
        <w:ind w:firstLine="709"/>
        <w:rPr>
          <w:rFonts w:cs="Times New Roman"/>
        </w:rPr>
      </w:pPr>
      <w:r>
        <w:rPr>
          <w:rFonts w:cs="Times New Roman"/>
        </w:rPr>
        <w:t>3</w:t>
      </w:r>
      <w:r w:rsidR="00287E35">
        <w:rPr>
          <w:rFonts w:cs="Times New Roman"/>
        </w:rPr>
        <w:t>5</w:t>
      </w:r>
      <w:r>
        <w:rPr>
          <w:rFonts w:cs="Times New Roman"/>
        </w:rPr>
        <w:t xml:space="preserve">.  </w:t>
      </w:r>
      <w:r w:rsidRPr="009B7615">
        <w:rPr>
          <w:rFonts w:cs="Times New Roman"/>
        </w:rPr>
        <w:t>Elektromobilio įkrovimo vartotojo prieigą prie įkrovimo stotelės suteikia Operatorius automobilio vairuotojui (valdytojui), nustatyta tvarka įregistravusiam automobilį ir pateikusiam:</w:t>
      </w:r>
    </w:p>
    <w:p w:rsidR="00213CEF" w:rsidRPr="009B7615" w:rsidRDefault="00213CEF" w:rsidP="0007707A">
      <w:pPr>
        <w:pStyle w:val="TS111"/>
        <w:numPr>
          <w:ilvl w:val="0"/>
          <w:numId w:val="0"/>
        </w:numPr>
        <w:ind w:firstLine="709"/>
        <w:rPr>
          <w:rFonts w:cs="Times New Roman"/>
        </w:rPr>
      </w:pPr>
      <w:r>
        <w:rPr>
          <w:rFonts w:cs="Times New Roman"/>
        </w:rPr>
        <w:t>3</w:t>
      </w:r>
      <w:r w:rsidR="00287E35">
        <w:rPr>
          <w:rFonts w:cs="Times New Roman"/>
        </w:rPr>
        <w:t>5</w:t>
      </w:r>
      <w:r>
        <w:rPr>
          <w:rFonts w:cs="Times New Roman"/>
        </w:rPr>
        <w:t xml:space="preserve">.1. </w:t>
      </w:r>
      <w:r w:rsidRPr="009B7615">
        <w:rPr>
          <w:rFonts w:cs="Times New Roman"/>
        </w:rPr>
        <w:t xml:space="preserve">nustatytos formos prašymą; </w:t>
      </w:r>
    </w:p>
    <w:p w:rsidR="00213CEF" w:rsidRPr="009B7615" w:rsidRDefault="00213CEF" w:rsidP="0007707A">
      <w:pPr>
        <w:pStyle w:val="TS111"/>
        <w:numPr>
          <w:ilvl w:val="0"/>
          <w:numId w:val="0"/>
        </w:numPr>
        <w:ind w:firstLine="709"/>
        <w:rPr>
          <w:rFonts w:cs="Times New Roman"/>
        </w:rPr>
      </w:pPr>
      <w:r>
        <w:rPr>
          <w:rFonts w:cs="Times New Roman"/>
        </w:rPr>
        <w:t>3</w:t>
      </w:r>
      <w:r w:rsidR="00287E35">
        <w:rPr>
          <w:rFonts w:cs="Times New Roman"/>
        </w:rPr>
        <w:t>5</w:t>
      </w:r>
      <w:r>
        <w:rPr>
          <w:rFonts w:cs="Times New Roman"/>
        </w:rPr>
        <w:t xml:space="preserve">.2. </w:t>
      </w:r>
      <w:r w:rsidRPr="009B7615">
        <w:rPr>
          <w:rFonts w:cs="Times New Roman"/>
        </w:rPr>
        <w:t>elektromobilio registracijos liudijimą.</w:t>
      </w:r>
    </w:p>
    <w:p w:rsidR="00213CEF" w:rsidRPr="009B7615" w:rsidRDefault="00213CEF" w:rsidP="0007707A">
      <w:pPr>
        <w:pStyle w:val="TS11"/>
        <w:numPr>
          <w:ilvl w:val="0"/>
          <w:numId w:val="0"/>
        </w:numPr>
        <w:spacing w:before="0"/>
        <w:ind w:firstLine="709"/>
        <w:rPr>
          <w:rFonts w:cs="Times New Roman"/>
        </w:rPr>
      </w:pPr>
      <w:r>
        <w:rPr>
          <w:rFonts w:cs="Times New Roman"/>
        </w:rPr>
        <w:t>3</w:t>
      </w:r>
      <w:r w:rsidR="00287E35">
        <w:rPr>
          <w:rFonts w:cs="Times New Roman"/>
        </w:rPr>
        <w:t>6</w:t>
      </w:r>
      <w:r>
        <w:rPr>
          <w:rFonts w:cs="Times New Roman"/>
        </w:rPr>
        <w:t xml:space="preserve">.  </w:t>
      </w:r>
      <w:r w:rsidRPr="009B7615">
        <w:rPr>
          <w:rFonts w:cs="Times New Roman"/>
        </w:rPr>
        <w:t>Vienam elektromobiliui suteikiama viena vartotojo prieiga.</w:t>
      </w:r>
    </w:p>
    <w:p w:rsidR="00213CEF" w:rsidRPr="009B7615" w:rsidRDefault="00213CEF" w:rsidP="0007707A">
      <w:pPr>
        <w:pStyle w:val="TS11"/>
        <w:numPr>
          <w:ilvl w:val="0"/>
          <w:numId w:val="0"/>
        </w:numPr>
        <w:spacing w:before="0"/>
        <w:ind w:firstLine="709"/>
        <w:rPr>
          <w:rFonts w:cs="Times New Roman"/>
        </w:rPr>
      </w:pPr>
      <w:r>
        <w:rPr>
          <w:rFonts w:cs="Times New Roman"/>
        </w:rPr>
        <w:t>3</w:t>
      </w:r>
      <w:r w:rsidR="00287E35">
        <w:rPr>
          <w:rFonts w:cs="Times New Roman"/>
        </w:rPr>
        <w:t>7</w:t>
      </w:r>
      <w:r>
        <w:rPr>
          <w:rFonts w:cs="Times New Roman"/>
        </w:rPr>
        <w:t xml:space="preserve">.  </w:t>
      </w:r>
      <w:r w:rsidRPr="009B7615">
        <w:rPr>
          <w:rFonts w:cs="Times New Roman"/>
        </w:rPr>
        <w:t>Operatorius turi suteikti vartotojui prieigą arba motyvuotai atsisakyti ją suteikti per 5 darbo dienas nuo prašymo (su visais reikalaujamais duomenimis) suteikti elektromobilio įkrovimo prieigą gavimo.</w:t>
      </w:r>
    </w:p>
    <w:p w:rsidR="00213CEF" w:rsidRPr="009B7615" w:rsidRDefault="00213CEF" w:rsidP="0007707A">
      <w:pPr>
        <w:pStyle w:val="TS11"/>
        <w:numPr>
          <w:ilvl w:val="0"/>
          <w:numId w:val="0"/>
        </w:numPr>
        <w:spacing w:before="0"/>
        <w:ind w:firstLine="709"/>
        <w:rPr>
          <w:rFonts w:cs="Times New Roman"/>
        </w:rPr>
      </w:pPr>
      <w:r>
        <w:rPr>
          <w:rFonts w:cs="Times New Roman"/>
        </w:rPr>
        <w:t>3</w:t>
      </w:r>
      <w:r w:rsidR="00287E35">
        <w:rPr>
          <w:rFonts w:cs="Times New Roman"/>
        </w:rPr>
        <w:t>8</w:t>
      </w:r>
      <w:r>
        <w:rPr>
          <w:rFonts w:cs="Times New Roman"/>
        </w:rPr>
        <w:t xml:space="preserve">. </w:t>
      </w:r>
      <w:r w:rsidRPr="009B7615">
        <w:rPr>
          <w:rFonts w:cs="Times New Roman"/>
        </w:rPr>
        <w:t>Elektromobilio valdytojai (vairuotojai) Operatoriaus atsisakymą suteikti elektromobilio įkrovimo prieigą gali apskųsti Vilniaus miesto savivaldybės administracijai ne vėliau kaip per 20 darbo dienų nuo atsisakymo suteikti prieigą  gavimo dienos. Šiai patenkinus automobilio valdytojo (vairuotojo) skundą dėl atsisakymo suteikti prieigą, Operatorius privalo suteikti elektromobilio įkrovimo prieigą ne vėliau kaip per 5 darbo dienas nuo pakartotinio automobilio valdytojo (vairuotojo) prašymo gavimo dienos.</w:t>
      </w:r>
    </w:p>
    <w:p w:rsidR="00213CEF" w:rsidRPr="009B7615" w:rsidRDefault="00213CEF" w:rsidP="0007707A">
      <w:pPr>
        <w:pStyle w:val="TS11"/>
        <w:numPr>
          <w:ilvl w:val="0"/>
          <w:numId w:val="0"/>
        </w:numPr>
        <w:spacing w:before="0"/>
        <w:ind w:firstLine="709"/>
        <w:rPr>
          <w:rFonts w:cs="Times New Roman"/>
        </w:rPr>
      </w:pPr>
      <w:r>
        <w:rPr>
          <w:rFonts w:cs="Times New Roman"/>
        </w:rPr>
        <w:t>3</w:t>
      </w:r>
      <w:r w:rsidR="00287E35">
        <w:rPr>
          <w:rFonts w:cs="Times New Roman"/>
        </w:rPr>
        <w:t>9</w:t>
      </w:r>
      <w:r>
        <w:rPr>
          <w:rFonts w:cs="Times New Roman"/>
        </w:rPr>
        <w:t xml:space="preserve">. </w:t>
      </w:r>
      <w:r w:rsidRPr="009B7615">
        <w:rPr>
          <w:rFonts w:cs="Times New Roman"/>
        </w:rPr>
        <w:t xml:space="preserve">Elektromobilio įkrovimo stotelėmis vartotojui leidžiama naudotis ne ilgiau kaip 4 valandas per parą. </w:t>
      </w:r>
    </w:p>
    <w:p w:rsidR="00213CEF" w:rsidRPr="009B7615" w:rsidRDefault="00287E35" w:rsidP="0007707A">
      <w:pPr>
        <w:pStyle w:val="TS11"/>
        <w:numPr>
          <w:ilvl w:val="0"/>
          <w:numId w:val="0"/>
        </w:numPr>
        <w:spacing w:before="0"/>
        <w:ind w:firstLine="709"/>
        <w:rPr>
          <w:rFonts w:cs="Times New Roman"/>
        </w:rPr>
      </w:pPr>
      <w:r>
        <w:rPr>
          <w:rFonts w:cs="Times New Roman"/>
        </w:rPr>
        <w:t>40</w:t>
      </w:r>
      <w:r w:rsidR="00213CEF">
        <w:rPr>
          <w:rFonts w:cs="Times New Roman"/>
        </w:rPr>
        <w:t xml:space="preserve">.  </w:t>
      </w:r>
      <w:r w:rsidR="00213CEF" w:rsidRPr="009B7615">
        <w:rPr>
          <w:rFonts w:cs="Times New Roman"/>
        </w:rPr>
        <w:t>Nepertraukiamo įkrovimo laikas elektromobilio įkrovimo stotelėse yra 2 valandos. Po 2 valandų elektros energijos tiekimas automatiškai atjungiamas.</w:t>
      </w:r>
    </w:p>
    <w:p w:rsidR="00213CEF" w:rsidRPr="009B7615" w:rsidRDefault="00213CEF" w:rsidP="0007707A">
      <w:pPr>
        <w:pStyle w:val="TS11"/>
        <w:numPr>
          <w:ilvl w:val="0"/>
          <w:numId w:val="0"/>
        </w:numPr>
        <w:spacing w:before="0"/>
        <w:ind w:firstLine="709"/>
        <w:rPr>
          <w:rFonts w:cs="Times New Roman"/>
        </w:rPr>
      </w:pPr>
      <w:r>
        <w:rPr>
          <w:rFonts w:cs="Times New Roman"/>
        </w:rPr>
        <w:t>4</w:t>
      </w:r>
      <w:r w:rsidR="00287E35">
        <w:rPr>
          <w:rFonts w:cs="Times New Roman"/>
        </w:rPr>
        <w:t>1</w:t>
      </w:r>
      <w:r>
        <w:rPr>
          <w:rFonts w:cs="Times New Roman"/>
        </w:rPr>
        <w:t xml:space="preserve">.  </w:t>
      </w:r>
      <w:r w:rsidRPr="009B7615">
        <w:rPr>
          <w:rFonts w:cs="Times New Roman"/>
        </w:rPr>
        <w:t>Ne vėliau kaip per 10 minučių nuo elektros energijos tiekimo atjungimo vartotojas privalo atjungti elektros įkrovimo kabelį ir patraukti elektromobilį iš elektromobilio įkrovimo stovėjimo vietos.</w:t>
      </w:r>
    </w:p>
    <w:p w:rsidR="00213CEF" w:rsidRPr="009B7615" w:rsidRDefault="00213CEF" w:rsidP="0007707A">
      <w:pPr>
        <w:pStyle w:val="TS11"/>
        <w:numPr>
          <w:ilvl w:val="0"/>
          <w:numId w:val="0"/>
        </w:numPr>
        <w:spacing w:before="0"/>
        <w:ind w:firstLine="709"/>
        <w:rPr>
          <w:rFonts w:cs="Times New Roman"/>
        </w:rPr>
      </w:pPr>
      <w:r>
        <w:rPr>
          <w:rFonts w:cs="Times New Roman"/>
        </w:rPr>
        <w:t>4</w:t>
      </w:r>
      <w:r w:rsidR="00287E35">
        <w:rPr>
          <w:rFonts w:cs="Times New Roman"/>
        </w:rPr>
        <w:t>2</w:t>
      </w:r>
      <w:r>
        <w:rPr>
          <w:rFonts w:cs="Times New Roman"/>
        </w:rPr>
        <w:t xml:space="preserve">.  </w:t>
      </w:r>
      <w:r w:rsidRPr="009B7615">
        <w:rPr>
          <w:rFonts w:cs="Times New Roman"/>
        </w:rPr>
        <w:t>Po 2 valandų įkrovimo, atjungus kabelį, įkrovimo stotelės vartotojo prieiga blokuojama 30 minučių. Po 30 minučių vartotojas gali  iš naujo prisijungti ir pradėti įkrovimą.</w:t>
      </w:r>
    </w:p>
    <w:p w:rsidR="00213CEF" w:rsidRPr="009B7615" w:rsidRDefault="00213CEF" w:rsidP="0007707A">
      <w:pPr>
        <w:pStyle w:val="TS11"/>
        <w:numPr>
          <w:ilvl w:val="0"/>
          <w:numId w:val="0"/>
        </w:numPr>
        <w:spacing w:before="0"/>
        <w:ind w:firstLine="709"/>
        <w:rPr>
          <w:rFonts w:cs="Times New Roman"/>
        </w:rPr>
      </w:pPr>
      <w:r>
        <w:rPr>
          <w:rFonts w:cs="Times New Roman"/>
        </w:rPr>
        <w:t>4</w:t>
      </w:r>
      <w:r w:rsidR="00287E35">
        <w:rPr>
          <w:rFonts w:cs="Times New Roman"/>
        </w:rPr>
        <w:t>3</w:t>
      </w:r>
      <w:r>
        <w:rPr>
          <w:rFonts w:cs="Times New Roman"/>
        </w:rPr>
        <w:t xml:space="preserve">.  </w:t>
      </w:r>
      <w:r w:rsidRPr="009B7615">
        <w:rPr>
          <w:rFonts w:cs="Times New Roman"/>
        </w:rPr>
        <w:t xml:space="preserve">Atvykus į elektromobilio įkrovimo vietą, kurioje yra stovėjimo trukmę ribojantys kelio </w:t>
      </w:r>
      <w:r w:rsidRPr="009B7615">
        <w:rPr>
          <w:rFonts w:cs="Times New Roman"/>
        </w:rPr>
        <w:lastRenderedPageBreak/>
        <w:t xml:space="preserve">ženklai, vartotojas </w:t>
      </w:r>
      <w:r w:rsidRPr="009B7615">
        <w:rPr>
          <w:rFonts w:cs="Times New Roman"/>
          <w:lang w:eastAsia="lt-LT"/>
        </w:rPr>
        <w:t>privalo palikti informaciją apie motorinės transporto priemonės atvykimo laiką už priekinio motorinės transporto priemonės stiklo taip, kad ji būtų matoma kitiems asmenims.</w:t>
      </w:r>
    </w:p>
    <w:p w:rsidR="00213CEF" w:rsidRPr="009B7615" w:rsidRDefault="00213CEF" w:rsidP="0007707A">
      <w:pPr>
        <w:pStyle w:val="TS11"/>
        <w:numPr>
          <w:ilvl w:val="0"/>
          <w:numId w:val="0"/>
        </w:numPr>
        <w:spacing w:before="0"/>
        <w:ind w:firstLine="709"/>
        <w:rPr>
          <w:rFonts w:cs="Times New Roman"/>
        </w:rPr>
      </w:pPr>
      <w:r>
        <w:rPr>
          <w:rFonts w:cs="Times New Roman"/>
        </w:rPr>
        <w:t>4</w:t>
      </w:r>
      <w:r w:rsidR="00287E35">
        <w:rPr>
          <w:rFonts w:cs="Times New Roman"/>
        </w:rPr>
        <w:t>4</w:t>
      </w:r>
      <w:r>
        <w:rPr>
          <w:rFonts w:cs="Times New Roman"/>
        </w:rPr>
        <w:t xml:space="preserve">.  </w:t>
      </w:r>
      <w:r w:rsidRPr="009B7615">
        <w:rPr>
          <w:rFonts w:cs="Times New Roman"/>
        </w:rPr>
        <w:t>Nustačius įkrovimo naudojimosi taisyklių 3.9 punkto pažeidimus, operatorius automatiškai be išankstinio įspėjimo  blokuoja vartotojo prieigą prie įkrovimo stotelių 48 valandoms.</w:t>
      </w:r>
    </w:p>
    <w:p w:rsidR="00213CEF" w:rsidRPr="009B7615" w:rsidRDefault="00213CEF" w:rsidP="0007707A">
      <w:pPr>
        <w:pStyle w:val="TS11"/>
        <w:numPr>
          <w:ilvl w:val="0"/>
          <w:numId w:val="0"/>
        </w:numPr>
        <w:spacing w:before="0"/>
        <w:ind w:firstLine="709"/>
        <w:rPr>
          <w:rFonts w:cs="Times New Roman"/>
        </w:rPr>
      </w:pPr>
      <w:r>
        <w:rPr>
          <w:rFonts w:cs="Times New Roman"/>
        </w:rPr>
        <w:t>4</w:t>
      </w:r>
      <w:r w:rsidR="00287E35">
        <w:rPr>
          <w:rFonts w:cs="Times New Roman"/>
        </w:rPr>
        <w:t>5</w:t>
      </w:r>
      <w:r>
        <w:rPr>
          <w:rFonts w:cs="Times New Roman"/>
        </w:rPr>
        <w:t xml:space="preserve">.  </w:t>
      </w:r>
      <w:r w:rsidRPr="009B7615">
        <w:rPr>
          <w:rFonts w:cs="Times New Roman"/>
        </w:rPr>
        <w:t>Apie elektromobilių įkrovimo prieigos blokavimą ilgesniam nei 48 valandos terminui ar jos panaikinimą, Operatorius prieigą gavusį asmenį informuoja raštu jo prašyme nurodytu adresu arba elektroniniu paštu ne vėliau kaip kitą darbo dieną po prieigos užblokavimo ar panaikinimo.</w:t>
      </w:r>
    </w:p>
    <w:p w:rsidR="00213CEF" w:rsidRPr="009B7615" w:rsidRDefault="00213CEF" w:rsidP="0007707A">
      <w:pPr>
        <w:pStyle w:val="TS11"/>
        <w:numPr>
          <w:ilvl w:val="0"/>
          <w:numId w:val="0"/>
        </w:numPr>
        <w:spacing w:before="0"/>
        <w:ind w:firstLine="709"/>
        <w:rPr>
          <w:rFonts w:cs="Times New Roman"/>
        </w:rPr>
      </w:pPr>
      <w:r>
        <w:rPr>
          <w:rFonts w:cs="Times New Roman"/>
        </w:rPr>
        <w:t>4</w:t>
      </w:r>
      <w:r w:rsidR="00287E35">
        <w:rPr>
          <w:rFonts w:cs="Times New Roman"/>
        </w:rPr>
        <w:t>6</w:t>
      </w:r>
      <w:r>
        <w:rPr>
          <w:rFonts w:cs="Times New Roman"/>
        </w:rPr>
        <w:t xml:space="preserve">.  </w:t>
      </w:r>
      <w:r w:rsidRPr="009B7615">
        <w:rPr>
          <w:rFonts w:cs="Times New Roman"/>
        </w:rPr>
        <w:t>Vartotojas, norėdamas pasinaudoti įkrovimo stotele, turi turėti savo įkrovimo kabelį. Krovimo kabelis turi būti originalus, atitikti visus saugos ir kokybės reikalavimus.</w:t>
      </w:r>
    </w:p>
    <w:p w:rsidR="00213CEF" w:rsidRPr="009B7615" w:rsidRDefault="00213CEF" w:rsidP="0007707A">
      <w:pPr>
        <w:pStyle w:val="TS11"/>
        <w:numPr>
          <w:ilvl w:val="0"/>
          <w:numId w:val="0"/>
        </w:numPr>
        <w:spacing w:before="0"/>
        <w:ind w:firstLine="709"/>
        <w:rPr>
          <w:rFonts w:cs="Times New Roman"/>
        </w:rPr>
      </w:pPr>
      <w:r>
        <w:rPr>
          <w:rFonts w:cs="Times New Roman"/>
        </w:rPr>
        <w:t>4</w:t>
      </w:r>
      <w:r w:rsidR="00287E35">
        <w:rPr>
          <w:rFonts w:cs="Times New Roman"/>
        </w:rPr>
        <w:t>7</w:t>
      </w:r>
      <w:r>
        <w:rPr>
          <w:rFonts w:cs="Times New Roman"/>
        </w:rPr>
        <w:t xml:space="preserve">.  </w:t>
      </w:r>
      <w:r w:rsidRPr="009B7615">
        <w:rPr>
          <w:rFonts w:cs="Times New Roman"/>
        </w:rPr>
        <w:t xml:space="preserve">Vartotojas yra atsakingas už tinkamą elektromobilių įkrovimo stotelių ir įkrovimo kabelio naudojimą. Nustačius pažeidimus vartotojas privalo atlyginti padarytą žalą  dėl netinkamo krovos stotelės naudojimo ar sugadinimo. </w:t>
      </w:r>
    </w:p>
    <w:p w:rsidR="00213CEF" w:rsidRPr="009B7615" w:rsidRDefault="00213CEF" w:rsidP="0007707A">
      <w:pPr>
        <w:pStyle w:val="TS11"/>
        <w:numPr>
          <w:ilvl w:val="0"/>
          <w:numId w:val="0"/>
        </w:numPr>
        <w:spacing w:before="0"/>
        <w:ind w:firstLine="851"/>
        <w:rPr>
          <w:rFonts w:cs="Times New Roman"/>
        </w:rPr>
      </w:pPr>
      <w:r>
        <w:rPr>
          <w:rFonts w:cs="Times New Roman"/>
        </w:rPr>
        <w:t>4</w:t>
      </w:r>
      <w:r w:rsidR="00287E35">
        <w:rPr>
          <w:rFonts w:cs="Times New Roman"/>
        </w:rPr>
        <w:t>8</w:t>
      </w:r>
      <w:bookmarkStart w:id="2" w:name="_GoBack"/>
      <w:bookmarkEnd w:id="2"/>
      <w:r>
        <w:rPr>
          <w:rFonts w:cs="Times New Roman"/>
        </w:rPr>
        <w:t xml:space="preserve">.  </w:t>
      </w:r>
      <w:r w:rsidRPr="009B7615">
        <w:rPr>
          <w:rFonts w:cs="Times New Roman"/>
        </w:rPr>
        <w:t>Vartotojas dėl techninio elektromobilio įkrovimo stotelės sutrikimo, negalėdamas pasinaudoti elektromobilio įkrovimo paslauga, apie tai turi informuoti elektromobilių įkrovimo vietose Operatoriaus nurodytu telefono numeriu.</w:t>
      </w:r>
    </w:p>
    <w:p w:rsidR="009A45FF" w:rsidRDefault="009A45FF" w:rsidP="0007707A">
      <w:pPr>
        <w:tabs>
          <w:tab w:val="left" w:pos="284"/>
          <w:tab w:val="left" w:pos="426"/>
          <w:tab w:val="left" w:pos="1134"/>
        </w:tabs>
        <w:spacing w:line="276" w:lineRule="auto"/>
        <w:ind w:firstLine="720"/>
        <w:jc w:val="both"/>
      </w:pPr>
    </w:p>
    <w:sectPr w:rsidR="009A45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6F6"/>
    <w:multiLevelType w:val="multilevel"/>
    <w:tmpl w:val="7EC492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3AF0F10"/>
    <w:multiLevelType w:val="multilevel"/>
    <w:tmpl w:val="2F8ED9F2"/>
    <w:lvl w:ilvl="0">
      <w:start w:val="3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050074B4"/>
    <w:multiLevelType w:val="multilevel"/>
    <w:tmpl w:val="F364D732"/>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07E17CCB"/>
    <w:multiLevelType w:val="multilevel"/>
    <w:tmpl w:val="771A8114"/>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4">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5">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
    <w:nsid w:val="16463327"/>
    <w:multiLevelType w:val="multilevel"/>
    <w:tmpl w:val="3CD06B58"/>
    <w:lvl w:ilvl="0">
      <w:start w:val="1"/>
      <w:numFmt w:val="decimal"/>
      <w:lvlText w:val="%1."/>
      <w:lvlJc w:val="left"/>
      <w:pPr>
        <w:ind w:left="36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2."/>
      <w:lvlJc w:val="left"/>
      <w:pPr>
        <w:ind w:left="432"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1.%2.%3."/>
      <w:lvlJc w:val="left"/>
      <w:pPr>
        <w:ind w:left="1224" w:firstLine="720"/>
      </w:pPr>
      <w:rPr>
        <w:sz w:val="22"/>
        <w:szCs w:val="22"/>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nsid w:val="2C6D16A2"/>
    <w:multiLevelType w:val="multilevel"/>
    <w:tmpl w:val="14044ADA"/>
    <w:lvl w:ilvl="0">
      <w:start w:val="1"/>
      <w:numFmt w:val="lowerLetter"/>
      <w:lvlText w:val="%1)"/>
      <w:lvlJc w:val="left"/>
      <w:pPr>
        <w:ind w:left="677" w:firstLine="317"/>
      </w:pPr>
      <w:rPr>
        <w:vertAlign w:val="baseline"/>
      </w:rPr>
    </w:lvl>
    <w:lvl w:ilvl="1">
      <w:start w:val="1"/>
      <w:numFmt w:val="lowerLetter"/>
      <w:lvlText w:val="%2."/>
      <w:lvlJc w:val="left"/>
      <w:pPr>
        <w:ind w:left="1397" w:firstLine="1037"/>
      </w:pPr>
      <w:rPr>
        <w:vertAlign w:val="baseline"/>
      </w:rPr>
    </w:lvl>
    <w:lvl w:ilvl="2">
      <w:start w:val="1"/>
      <w:numFmt w:val="lowerRoman"/>
      <w:lvlText w:val="%3."/>
      <w:lvlJc w:val="right"/>
      <w:pPr>
        <w:ind w:left="2117" w:firstLine="1937"/>
      </w:pPr>
      <w:rPr>
        <w:vertAlign w:val="baseline"/>
      </w:rPr>
    </w:lvl>
    <w:lvl w:ilvl="3">
      <w:start w:val="1"/>
      <w:numFmt w:val="decimal"/>
      <w:lvlText w:val="%4."/>
      <w:lvlJc w:val="left"/>
      <w:pPr>
        <w:ind w:left="2837" w:firstLine="2477"/>
      </w:pPr>
      <w:rPr>
        <w:vertAlign w:val="baseline"/>
      </w:rPr>
    </w:lvl>
    <w:lvl w:ilvl="4">
      <w:start w:val="1"/>
      <w:numFmt w:val="lowerLetter"/>
      <w:lvlText w:val="%5."/>
      <w:lvlJc w:val="left"/>
      <w:pPr>
        <w:ind w:left="3557" w:firstLine="3197"/>
      </w:pPr>
      <w:rPr>
        <w:vertAlign w:val="baseline"/>
      </w:rPr>
    </w:lvl>
    <w:lvl w:ilvl="5">
      <w:start w:val="1"/>
      <w:numFmt w:val="lowerRoman"/>
      <w:lvlText w:val="%6."/>
      <w:lvlJc w:val="right"/>
      <w:pPr>
        <w:ind w:left="4277" w:firstLine="4097"/>
      </w:pPr>
      <w:rPr>
        <w:vertAlign w:val="baseline"/>
      </w:rPr>
    </w:lvl>
    <w:lvl w:ilvl="6">
      <w:start w:val="1"/>
      <w:numFmt w:val="decimal"/>
      <w:lvlText w:val="%7."/>
      <w:lvlJc w:val="left"/>
      <w:pPr>
        <w:ind w:left="4997" w:firstLine="4637"/>
      </w:pPr>
      <w:rPr>
        <w:vertAlign w:val="baseline"/>
      </w:rPr>
    </w:lvl>
    <w:lvl w:ilvl="7">
      <w:start w:val="1"/>
      <w:numFmt w:val="lowerLetter"/>
      <w:lvlText w:val="%8."/>
      <w:lvlJc w:val="left"/>
      <w:pPr>
        <w:ind w:left="5717" w:firstLine="5357"/>
      </w:pPr>
      <w:rPr>
        <w:vertAlign w:val="baseline"/>
      </w:rPr>
    </w:lvl>
    <w:lvl w:ilvl="8">
      <w:start w:val="1"/>
      <w:numFmt w:val="lowerRoman"/>
      <w:lvlText w:val="%9."/>
      <w:lvlJc w:val="right"/>
      <w:pPr>
        <w:ind w:left="6437" w:firstLine="6257"/>
      </w:pPr>
      <w:rPr>
        <w:vertAlign w:val="baseline"/>
      </w:rPr>
    </w:lvl>
  </w:abstractNum>
  <w:abstractNum w:abstractNumId="8">
    <w:nsid w:val="2DDD3BD1"/>
    <w:multiLevelType w:val="multilevel"/>
    <w:tmpl w:val="17DA74C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nsid w:val="343638D6"/>
    <w:multiLevelType w:val="multilevel"/>
    <w:tmpl w:val="48566B2A"/>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3ED70149"/>
    <w:multiLevelType w:val="multilevel"/>
    <w:tmpl w:val="155E17B0"/>
    <w:lvl w:ilvl="0">
      <w:start w:val="3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nsid w:val="426E4961"/>
    <w:multiLevelType w:val="multilevel"/>
    <w:tmpl w:val="B166184A"/>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45CD106F"/>
    <w:multiLevelType w:val="hybridMultilevel"/>
    <w:tmpl w:val="3266B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5E35E40"/>
    <w:multiLevelType w:val="multilevel"/>
    <w:tmpl w:val="09463522"/>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505337DE"/>
    <w:multiLevelType w:val="multilevel"/>
    <w:tmpl w:val="12B04920"/>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52C05B9B"/>
    <w:multiLevelType w:val="multilevel"/>
    <w:tmpl w:val="047EC03E"/>
    <w:lvl w:ilvl="0">
      <w:start w:val="1"/>
      <w:numFmt w:val="upperRoman"/>
      <w:lvlText w:val="%1."/>
      <w:lvlJc w:val="left"/>
      <w:pPr>
        <w:ind w:left="1080" w:firstLine="720"/>
      </w:pPr>
      <w:rPr>
        <w:rFonts w:ascii="Times New Roman" w:eastAsia="Times New Roman" w:hAnsi="Times New Roman" w:cs="Times New Roman"/>
      </w:rPr>
    </w:lvl>
    <w:lvl w:ilvl="1">
      <w:start w:val="1"/>
      <w:numFmt w:val="decimal"/>
      <w:lvlText w:val="%2."/>
      <w:lvlJc w:val="left"/>
      <w:pPr>
        <w:ind w:left="1140" w:firstLine="720"/>
      </w:pPr>
      <w:rPr>
        <w:rFonts w:ascii="Times New Roman" w:eastAsia="Times New Roman" w:hAnsi="Times New Roman" w:cs="Times New Roman"/>
        <w:b w:val="0"/>
      </w:rPr>
    </w:lvl>
    <w:lvl w:ilvl="2">
      <w:start w:val="1"/>
      <w:numFmt w:val="decimal"/>
      <w:lvlText w:val="%1.%2.%3."/>
      <w:lvlJc w:val="left"/>
      <w:pPr>
        <w:ind w:left="1440" w:firstLine="720"/>
      </w:pPr>
    </w:lvl>
    <w:lvl w:ilvl="3">
      <w:start w:val="1"/>
      <w:numFmt w:val="decimal"/>
      <w:lvlText w:val="%1.%2.%3.%4."/>
      <w:lvlJc w:val="left"/>
      <w:pPr>
        <w:ind w:left="1440" w:firstLine="720"/>
      </w:pPr>
    </w:lvl>
    <w:lvl w:ilvl="4">
      <w:start w:val="1"/>
      <w:numFmt w:val="decimal"/>
      <w:lvlText w:val="%1.%2.%3.%4.%5."/>
      <w:lvlJc w:val="left"/>
      <w:pPr>
        <w:ind w:left="1800" w:firstLine="720"/>
      </w:pPr>
    </w:lvl>
    <w:lvl w:ilvl="5">
      <w:start w:val="1"/>
      <w:numFmt w:val="decimal"/>
      <w:lvlText w:val="%1.%2.%3.%4.%5.%6."/>
      <w:lvlJc w:val="left"/>
      <w:pPr>
        <w:ind w:left="1800" w:firstLine="720"/>
      </w:pPr>
    </w:lvl>
    <w:lvl w:ilvl="6">
      <w:start w:val="1"/>
      <w:numFmt w:val="decimal"/>
      <w:lvlText w:val="%1.%2.%3.%4.%5.%6.%7."/>
      <w:lvlJc w:val="left"/>
      <w:pPr>
        <w:ind w:left="2160" w:firstLine="720"/>
      </w:pPr>
    </w:lvl>
    <w:lvl w:ilvl="7">
      <w:start w:val="1"/>
      <w:numFmt w:val="decimal"/>
      <w:lvlText w:val="%1.%2.%3.%4.%5.%6.%7.%8."/>
      <w:lvlJc w:val="left"/>
      <w:pPr>
        <w:ind w:left="2160" w:firstLine="720"/>
      </w:pPr>
    </w:lvl>
    <w:lvl w:ilvl="8">
      <w:start w:val="1"/>
      <w:numFmt w:val="decimal"/>
      <w:lvlText w:val="%1.%2.%3.%4.%5.%6.%7.%8.%9."/>
      <w:lvlJc w:val="left"/>
      <w:pPr>
        <w:ind w:left="2520" w:firstLine="720"/>
      </w:pPr>
    </w:lvl>
  </w:abstractNum>
  <w:abstractNum w:abstractNumId="16">
    <w:nsid w:val="568C04DA"/>
    <w:multiLevelType w:val="multilevel"/>
    <w:tmpl w:val="8A9AC1F8"/>
    <w:lvl w:ilvl="0">
      <w:start w:val="1"/>
      <w:numFmt w:val="decimal"/>
      <w:lvlText w:val="%1."/>
      <w:lvlJc w:val="left"/>
      <w:pPr>
        <w:ind w:left="360" w:firstLine="0"/>
      </w:pPr>
      <w:rPr>
        <w:b/>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7">
    <w:nsid w:val="6D954AAC"/>
    <w:multiLevelType w:val="multilevel"/>
    <w:tmpl w:val="FF8E8162"/>
    <w:lvl w:ilvl="0">
      <w:start w:val="1"/>
      <w:numFmt w:val="decimal"/>
      <w:lvlText w:val="%1."/>
      <w:lvlJc w:val="left"/>
      <w:pPr>
        <w:ind w:left="714" w:firstLine="360"/>
      </w:pPr>
      <w:rPr>
        <w:b w:val="0"/>
      </w:rPr>
    </w:lvl>
    <w:lvl w:ilvl="1">
      <w:start w:val="1"/>
      <w:numFmt w:val="decimal"/>
      <w:lvlText w:val="%1.%2."/>
      <w:lvlJc w:val="left"/>
      <w:pPr>
        <w:ind w:left="1074" w:firstLine="720"/>
      </w:pPr>
    </w:lvl>
    <w:lvl w:ilvl="2">
      <w:start w:val="1"/>
      <w:numFmt w:val="decimal"/>
      <w:lvlText w:val="%1.%2.%3."/>
      <w:lvlJc w:val="left"/>
      <w:pPr>
        <w:ind w:left="1794" w:firstLine="1080"/>
      </w:pPr>
    </w:lvl>
    <w:lvl w:ilvl="3">
      <w:start w:val="1"/>
      <w:numFmt w:val="decimal"/>
      <w:lvlText w:val="%1.%2.%3.%4."/>
      <w:lvlJc w:val="left"/>
      <w:pPr>
        <w:ind w:left="2154" w:firstLine="1440"/>
      </w:pPr>
    </w:lvl>
    <w:lvl w:ilvl="4">
      <w:start w:val="1"/>
      <w:numFmt w:val="decimal"/>
      <w:lvlText w:val="%1.%2.%3.%4.%5."/>
      <w:lvlJc w:val="left"/>
      <w:pPr>
        <w:ind w:left="2874" w:firstLine="1800"/>
      </w:pPr>
    </w:lvl>
    <w:lvl w:ilvl="5">
      <w:start w:val="1"/>
      <w:numFmt w:val="decimal"/>
      <w:lvlText w:val="%1.%2.%3.%4.%5.%6."/>
      <w:lvlJc w:val="left"/>
      <w:pPr>
        <w:ind w:left="3234" w:firstLine="2160"/>
      </w:pPr>
    </w:lvl>
    <w:lvl w:ilvl="6">
      <w:start w:val="1"/>
      <w:numFmt w:val="decimal"/>
      <w:lvlText w:val="%1.%2.%3.%4.%5.%6.%7."/>
      <w:lvlJc w:val="left"/>
      <w:pPr>
        <w:ind w:left="3954" w:firstLine="2520"/>
      </w:pPr>
    </w:lvl>
    <w:lvl w:ilvl="7">
      <w:start w:val="1"/>
      <w:numFmt w:val="decimal"/>
      <w:lvlText w:val="%1.%2.%3.%4.%5.%6.%7.%8."/>
      <w:lvlJc w:val="left"/>
      <w:pPr>
        <w:ind w:left="4314" w:firstLine="2880"/>
      </w:pPr>
    </w:lvl>
    <w:lvl w:ilvl="8">
      <w:start w:val="1"/>
      <w:numFmt w:val="decimal"/>
      <w:lvlText w:val="%1.%2.%3.%4.%5.%6.%7.%8.%9."/>
      <w:lvlJc w:val="left"/>
      <w:pPr>
        <w:ind w:left="5034" w:firstLine="3240"/>
      </w:pPr>
    </w:lvl>
  </w:abstractNum>
  <w:abstractNum w:abstractNumId="18">
    <w:nsid w:val="6FE86C8D"/>
    <w:multiLevelType w:val="multilevel"/>
    <w:tmpl w:val="399EDA8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707B5D53"/>
    <w:multiLevelType w:val="multilevel"/>
    <w:tmpl w:val="1390ED98"/>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719D6033"/>
    <w:multiLevelType w:val="multilevel"/>
    <w:tmpl w:val="942E3F94"/>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1">
    <w:nsid w:val="73B525C0"/>
    <w:multiLevelType w:val="multilevel"/>
    <w:tmpl w:val="FE9065EE"/>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2">
    <w:nsid w:val="74756AE8"/>
    <w:multiLevelType w:val="multilevel"/>
    <w:tmpl w:val="475E5A0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3">
    <w:nsid w:val="7DBA10D0"/>
    <w:multiLevelType w:val="multilevel"/>
    <w:tmpl w:val="7A1874C0"/>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5"/>
  </w:num>
  <w:num w:numId="2">
    <w:abstractNumId w:val="8"/>
  </w:num>
  <w:num w:numId="3">
    <w:abstractNumId w:val="15"/>
  </w:num>
  <w:num w:numId="4">
    <w:abstractNumId w:val="10"/>
  </w:num>
  <w:num w:numId="5">
    <w:abstractNumId w:val="1"/>
  </w:num>
  <w:num w:numId="6">
    <w:abstractNumId w:val="0"/>
  </w:num>
  <w:num w:numId="7">
    <w:abstractNumId w:val="20"/>
  </w:num>
  <w:num w:numId="8">
    <w:abstractNumId w:val="18"/>
  </w:num>
  <w:num w:numId="9">
    <w:abstractNumId w:val="7"/>
  </w:num>
  <w:num w:numId="10">
    <w:abstractNumId w:val="2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D8"/>
    <w:rsid w:val="0001447F"/>
    <w:rsid w:val="00040917"/>
    <w:rsid w:val="0007707A"/>
    <w:rsid w:val="00213CEF"/>
    <w:rsid w:val="00287E35"/>
    <w:rsid w:val="00552502"/>
    <w:rsid w:val="009A45FF"/>
    <w:rsid w:val="00A66130"/>
    <w:rsid w:val="00AC6BDD"/>
    <w:rsid w:val="00E063D8"/>
    <w:rsid w:val="00FC36B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63D8"/>
    <w:pPr>
      <w:spacing w:after="0" w:line="240" w:lineRule="auto"/>
    </w:pPr>
    <w:rPr>
      <w:rFonts w:ascii="Times New Roman" w:eastAsia="Times New Roman" w:hAnsi="Times New Roman" w:cs="Times New Roman"/>
      <w:color w:val="000000"/>
      <w:sz w:val="20"/>
      <w:szCs w:val="20"/>
    </w:rPr>
  </w:style>
  <w:style w:type="paragraph" w:styleId="Heading1">
    <w:name w:val="heading 1"/>
    <w:basedOn w:val="Normal"/>
    <w:next w:val="Normal"/>
    <w:link w:val="Heading1Char"/>
    <w:uiPriority w:val="99"/>
    <w:qFormat/>
    <w:rsid w:val="00E063D8"/>
    <w:pPr>
      <w:keepNext/>
      <w:keepLines/>
      <w:spacing w:before="480" w:after="120"/>
      <w:contextualSpacing/>
      <w:outlineLvl w:val="0"/>
    </w:pPr>
    <w:rPr>
      <w:b/>
      <w:sz w:val="48"/>
      <w:szCs w:val="48"/>
    </w:rPr>
  </w:style>
  <w:style w:type="paragraph" w:styleId="Heading2">
    <w:name w:val="heading 2"/>
    <w:basedOn w:val="Normal"/>
    <w:next w:val="Normal"/>
    <w:link w:val="Heading2Char"/>
    <w:rsid w:val="00E063D8"/>
    <w:pPr>
      <w:keepNext/>
      <w:keepLines/>
      <w:jc w:val="both"/>
      <w:outlineLvl w:val="1"/>
    </w:pPr>
    <w:rPr>
      <w:b/>
      <w:sz w:val="24"/>
      <w:szCs w:val="24"/>
    </w:rPr>
  </w:style>
  <w:style w:type="paragraph" w:styleId="Heading3">
    <w:name w:val="heading 3"/>
    <w:basedOn w:val="Normal"/>
    <w:next w:val="Normal"/>
    <w:link w:val="Heading3Char"/>
    <w:qFormat/>
    <w:rsid w:val="00E063D8"/>
    <w:pPr>
      <w:keepNext/>
      <w:keepLines/>
      <w:jc w:val="center"/>
      <w:outlineLvl w:val="2"/>
    </w:pPr>
    <w:rPr>
      <w:b/>
      <w:sz w:val="24"/>
      <w:szCs w:val="24"/>
    </w:rPr>
  </w:style>
  <w:style w:type="paragraph" w:styleId="Heading4">
    <w:name w:val="heading 4"/>
    <w:basedOn w:val="Normal"/>
    <w:next w:val="Normal"/>
    <w:link w:val="Heading4Char"/>
    <w:rsid w:val="00E063D8"/>
    <w:pPr>
      <w:keepNext/>
      <w:keepLines/>
      <w:jc w:val="center"/>
      <w:outlineLvl w:val="3"/>
    </w:pPr>
    <w:rPr>
      <w:sz w:val="28"/>
      <w:szCs w:val="28"/>
    </w:rPr>
  </w:style>
  <w:style w:type="paragraph" w:styleId="Heading5">
    <w:name w:val="heading 5"/>
    <w:basedOn w:val="Normal"/>
    <w:next w:val="Normal"/>
    <w:link w:val="Heading5Char"/>
    <w:rsid w:val="00E063D8"/>
    <w:pPr>
      <w:keepNext/>
      <w:keepLines/>
      <w:outlineLvl w:val="4"/>
    </w:pPr>
    <w:rPr>
      <w:sz w:val="24"/>
      <w:szCs w:val="24"/>
    </w:rPr>
  </w:style>
  <w:style w:type="paragraph" w:styleId="Heading6">
    <w:name w:val="heading 6"/>
    <w:basedOn w:val="Normal"/>
    <w:next w:val="Normal"/>
    <w:link w:val="Heading6Char"/>
    <w:rsid w:val="00E063D8"/>
    <w:pPr>
      <w:keepNext/>
      <w:keepLines/>
      <w:spacing w:line="360" w:lineRule="auto"/>
      <w:jc w:val="both"/>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63D8"/>
    <w:rPr>
      <w:rFonts w:ascii="Times New Roman" w:eastAsia="Times New Roman" w:hAnsi="Times New Roman" w:cs="Times New Roman"/>
      <w:b/>
      <w:color w:val="000000"/>
      <w:sz w:val="48"/>
      <w:szCs w:val="48"/>
    </w:rPr>
  </w:style>
  <w:style w:type="character" w:customStyle="1" w:styleId="Heading2Char">
    <w:name w:val="Heading 2 Char"/>
    <w:basedOn w:val="DefaultParagraphFont"/>
    <w:link w:val="Heading2"/>
    <w:rsid w:val="00E063D8"/>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E063D8"/>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rsid w:val="00E063D8"/>
    <w:rPr>
      <w:rFonts w:ascii="Times New Roman" w:eastAsia="Times New Roman" w:hAnsi="Times New Roman" w:cs="Times New Roman"/>
      <w:color w:val="000000"/>
      <w:sz w:val="28"/>
      <w:szCs w:val="28"/>
    </w:rPr>
  </w:style>
  <w:style w:type="character" w:customStyle="1" w:styleId="Heading5Char">
    <w:name w:val="Heading 5 Char"/>
    <w:basedOn w:val="DefaultParagraphFont"/>
    <w:link w:val="Heading5"/>
    <w:rsid w:val="00E063D8"/>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E063D8"/>
    <w:rPr>
      <w:rFonts w:ascii="Times New Roman" w:eastAsia="Times New Roman" w:hAnsi="Times New Roman" w:cs="Times New Roman"/>
      <w:color w:val="000000"/>
      <w:sz w:val="24"/>
      <w:szCs w:val="24"/>
    </w:rPr>
  </w:style>
  <w:style w:type="table" w:customStyle="1" w:styleId="TableNormal1">
    <w:name w:val="Table Normal1"/>
    <w:rsid w:val="00E063D8"/>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styleId="Title">
    <w:name w:val="Title"/>
    <w:basedOn w:val="Normal"/>
    <w:next w:val="Normal"/>
    <w:link w:val="TitleChar"/>
    <w:rsid w:val="00E063D8"/>
    <w:pPr>
      <w:keepNext/>
      <w:keepLines/>
      <w:spacing w:before="480" w:after="120"/>
      <w:contextualSpacing/>
    </w:pPr>
    <w:rPr>
      <w:b/>
      <w:sz w:val="72"/>
      <w:szCs w:val="72"/>
    </w:rPr>
  </w:style>
  <w:style w:type="character" w:customStyle="1" w:styleId="TitleChar">
    <w:name w:val="Title Char"/>
    <w:basedOn w:val="DefaultParagraphFont"/>
    <w:link w:val="Title"/>
    <w:rsid w:val="00E063D8"/>
    <w:rPr>
      <w:rFonts w:ascii="Times New Roman" w:eastAsia="Times New Roman" w:hAnsi="Times New Roman" w:cs="Times New Roman"/>
      <w:b/>
      <w:color w:val="000000"/>
      <w:sz w:val="72"/>
      <w:szCs w:val="72"/>
    </w:rPr>
  </w:style>
  <w:style w:type="paragraph" w:styleId="Subtitle">
    <w:name w:val="Subtitle"/>
    <w:basedOn w:val="Normal"/>
    <w:next w:val="Normal"/>
    <w:link w:val="SubtitleChar"/>
    <w:rsid w:val="00E063D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063D8"/>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E063D8"/>
  </w:style>
  <w:style w:type="character" w:customStyle="1" w:styleId="CommentTextChar">
    <w:name w:val="Comment Text Char"/>
    <w:basedOn w:val="DefaultParagraphFont"/>
    <w:link w:val="CommentText"/>
    <w:uiPriority w:val="99"/>
    <w:semiHidden/>
    <w:rsid w:val="00E063D8"/>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E063D8"/>
    <w:rPr>
      <w:sz w:val="16"/>
      <w:szCs w:val="16"/>
    </w:rPr>
  </w:style>
  <w:style w:type="paragraph" w:styleId="BalloonText">
    <w:name w:val="Balloon Text"/>
    <w:basedOn w:val="Normal"/>
    <w:link w:val="BalloonTextChar"/>
    <w:uiPriority w:val="99"/>
    <w:semiHidden/>
    <w:unhideWhenUsed/>
    <w:rsid w:val="00E063D8"/>
    <w:rPr>
      <w:rFonts w:ascii="Tahoma" w:hAnsi="Tahoma" w:cs="Tahoma"/>
      <w:sz w:val="16"/>
      <w:szCs w:val="16"/>
    </w:rPr>
  </w:style>
  <w:style w:type="character" w:customStyle="1" w:styleId="BalloonTextChar">
    <w:name w:val="Balloon Text Char"/>
    <w:basedOn w:val="DefaultParagraphFont"/>
    <w:link w:val="BalloonText"/>
    <w:uiPriority w:val="99"/>
    <w:semiHidden/>
    <w:rsid w:val="00E063D8"/>
    <w:rPr>
      <w:rFonts w:ascii="Tahoma" w:eastAsia="Times New Roman"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063D8"/>
    <w:rPr>
      <w:b/>
      <w:bCs/>
    </w:rPr>
  </w:style>
  <w:style w:type="character" w:customStyle="1" w:styleId="CommentSubjectChar">
    <w:name w:val="Comment Subject Char"/>
    <w:basedOn w:val="CommentTextChar"/>
    <w:link w:val="CommentSubject"/>
    <w:uiPriority w:val="99"/>
    <w:semiHidden/>
    <w:rsid w:val="00E063D8"/>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E063D8"/>
    <w:pPr>
      <w:ind w:left="720"/>
      <w:contextualSpacing/>
    </w:pPr>
  </w:style>
  <w:style w:type="character" w:styleId="Hyperlink">
    <w:name w:val="Hyperlink"/>
    <w:basedOn w:val="DefaultParagraphFont"/>
    <w:uiPriority w:val="99"/>
    <w:unhideWhenUsed/>
    <w:rsid w:val="00E063D8"/>
    <w:rPr>
      <w:color w:val="0000FF" w:themeColor="hyperlink"/>
      <w:u w:val="single"/>
    </w:rPr>
  </w:style>
  <w:style w:type="paragraph" w:styleId="FootnoteText">
    <w:name w:val="footnote text"/>
    <w:basedOn w:val="Normal"/>
    <w:link w:val="FootnoteTextChar"/>
    <w:uiPriority w:val="99"/>
    <w:semiHidden/>
    <w:unhideWhenUsed/>
    <w:rsid w:val="00E063D8"/>
  </w:style>
  <w:style w:type="character" w:customStyle="1" w:styleId="FootnoteTextChar">
    <w:name w:val="Footnote Text Char"/>
    <w:basedOn w:val="DefaultParagraphFont"/>
    <w:link w:val="FootnoteText"/>
    <w:uiPriority w:val="99"/>
    <w:semiHidden/>
    <w:rsid w:val="00E063D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063D8"/>
    <w:rPr>
      <w:vertAlign w:val="superscript"/>
    </w:rPr>
  </w:style>
  <w:style w:type="paragraph" w:styleId="EndnoteText">
    <w:name w:val="endnote text"/>
    <w:basedOn w:val="Normal"/>
    <w:link w:val="EndnoteTextChar"/>
    <w:uiPriority w:val="99"/>
    <w:semiHidden/>
    <w:unhideWhenUsed/>
    <w:rsid w:val="00E063D8"/>
  </w:style>
  <w:style w:type="character" w:customStyle="1" w:styleId="EndnoteTextChar">
    <w:name w:val="Endnote Text Char"/>
    <w:basedOn w:val="DefaultParagraphFont"/>
    <w:link w:val="EndnoteText"/>
    <w:uiPriority w:val="99"/>
    <w:semiHidden/>
    <w:rsid w:val="00E063D8"/>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E063D8"/>
    <w:rPr>
      <w:vertAlign w:val="superscript"/>
    </w:rPr>
  </w:style>
  <w:style w:type="paragraph" w:styleId="BodyText">
    <w:name w:val="Body Text"/>
    <w:basedOn w:val="Normal"/>
    <w:link w:val="BodyTextChar"/>
    <w:uiPriority w:val="99"/>
    <w:semiHidden/>
    <w:unhideWhenUsed/>
    <w:rsid w:val="00E063D8"/>
    <w:pPr>
      <w:spacing w:after="120"/>
    </w:pPr>
  </w:style>
  <w:style w:type="character" w:customStyle="1" w:styleId="BodyTextChar">
    <w:name w:val="Body Text Char"/>
    <w:basedOn w:val="DefaultParagraphFont"/>
    <w:link w:val="BodyText"/>
    <w:uiPriority w:val="99"/>
    <w:semiHidden/>
    <w:rsid w:val="00E063D8"/>
    <w:rPr>
      <w:rFonts w:ascii="Times New Roman" w:eastAsia="Times New Roman" w:hAnsi="Times New Roman" w:cs="Times New Roman"/>
      <w:color w:val="000000"/>
      <w:sz w:val="20"/>
      <w:szCs w:val="20"/>
    </w:rPr>
  </w:style>
  <w:style w:type="table" w:styleId="TableGrid">
    <w:name w:val="Table Grid"/>
    <w:basedOn w:val="TableNormal"/>
    <w:uiPriority w:val="59"/>
    <w:rsid w:val="00E063D8"/>
    <w:pP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063D8"/>
    <w:pPr>
      <w:spacing w:after="0" w:line="240" w:lineRule="auto"/>
    </w:pPr>
    <w:rPr>
      <w:rFonts w:ascii="Times New Roman" w:eastAsia="Times New Roman" w:hAnsi="Times New Roman" w:cs="Times New Roman"/>
      <w:color w:val="000000"/>
      <w:sz w:val="20"/>
      <w:szCs w:val="20"/>
    </w:rPr>
  </w:style>
  <w:style w:type="character" w:styleId="SubtleEmphasis">
    <w:name w:val="Subtle Emphasis"/>
    <w:basedOn w:val="DefaultParagraphFont"/>
    <w:uiPriority w:val="19"/>
    <w:qFormat/>
    <w:rsid w:val="00E063D8"/>
    <w:rPr>
      <w:i/>
      <w:iCs/>
      <w:color w:val="808080" w:themeColor="text1" w:themeTint="7F"/>
    </w:rPr>
  </w:style>
  <w:style w:type="paragraph" w:customStyle="1" w:styleId="Style1">
    <w:name w:val="Style1"/>
    <w:basedOn w:val="NoSpacing"/>
    <w:link w:val="Style1Char"/>
    <w:qFormat/>
    <w:rsid w:val="00E063D8"/>
  </w:style>
  <w:style w:type="character" w:customStyle="1" w:styleId="NoSpacingChar">
    <w:name w:val="No Spacing Char"/>
    <w:basedOn w:val="DefaultParagraphFont"/>
    <w:link w:val="NoSpacing"/>
    <w:uiPriority w:val="1"/>
    <w:rsid w:val="00E063D8"/>
    <w:rPr>
      <w:rFonts w:ascii="Times New Roman" w:eastAsia="Times New Roman" w:hAnsi="Times New Roman" w:cs="Times New Roman"/>
      <w:color w:val="000000"/>
      <w:sz w:val="20"/>
      <w:szCs w:val="20"/>
    </w:rPr>
  </w:style>
  <w:style w:type="character" w:customStyle="1" w:styleId="Style1Char">
    <w:name w:val="Style1 Char"/>
    <w:basedOn w:val="NoSpacingChar"/>
    <w:link w:val="Style1"/>
    <w:rsid w:val="00E063D8"/>
    <w:rPr>
      <w:rFonts w:ascii="Times New Roman" w:eastAsia="Times New Roman" w:hAnsi="Times New Roman" w:cs="Times New Roman"/>
      <w:color w:val="000000"/>
      <w:sz w:val="20"/>
      <w:szCs w:val="20"/>
    </w:rPr>
  </w:style>
  <w:style w:type="character" w:styleId="PlaceholderText">
    <w:name w:val="Placeholder Text"/>
    <w:basedOn w:val="DefaultParagraphFont"/>
    <w:uiPriority w:val="99"/>
    <w:semiHidden/>
    <w:rsid w:val="00E063D8"/>
    <w:rPr>
      <w:rFonts w:cs="Times New Roman"/>
      <w:color w:val="808080"/>
    </w:rPr>
  </w:style>
  <w:style w:type="paragraph" w:customStyle="1" w:styleId="ListParagraph1">
    <w:name w:val="List Paragraph1"/>
    <w:basedOn w:val="Normal"/>
    <w:uiPriority w:val="99"/>
    <w:rsid w:val="00E063D8"/>
    <w:pPr>
      <w:widowControl w:val="0"/>
      <w:autoSpaceDE w:val="0"/>
      <w:autoSpaceDN w:val="0"/>
      <w:adjustRightInd w:val="0"/>
      <w:ind w:left="720"/>
      <w:contextualSpacing/>
    </w:pPr>
    <w:rPr>
      <w:rFonts w:ascii="Arial" w:hAnsi="Arial" w:cs="Arial"/>
      <w:color w:val="auto"/>
      <w:lang w:eastAsia="lt-LT"/>
    </w:rPr>
  </w:style>
  <w:style w:type="paragraph" w:customStyle="1" w:styleId="NoSpacing1">
    <w:name w:val="No Spacing1"/>
    <w:uiPriority w:val="99"/>
    <w:rsid w:val="00E063D8"/>
    <w:pPr>
      <w:widowControl w:val="0"/>
      <w:autoSpaceDE w:val="0"/>
      <w:autoSpaceDN w:val="0"/>
      <w:adjustRightInd w:val="0"/>
      <w:spacing w:after="0" w:line="240" w:lineRule="auto"/>
    </w:pPr>
    <w:rPr>
      <w:rFonts w:ascii="Arial" w:eastAsia="Times New Roman" w:hAnsi="Arial" w:cs="Arial"/>
      <w:sz w:val="20"/>
      <w:szCs w:val="20"/>
      <w:lang w:eastAsia="lt-LT"/>
    </w:rPr>
  </w:style>
  <w:style w:type="paragraph" w:styleId="Header">
    <w:name w:val="header"/>
    <w:basedOn w:val="Normal"/>
    <w:link w:val="HeaderChar"/>
    <w:uiPriority w:val="99"/>
    <w:unhideWhenUsed/>
    <w:rsid w:val="00E063D8"/>
    <w:pPr>
      <w:tabs>
        <w:tab w:val="center" w:pos="4819"/>
        <w:tab w:val="right" w:pos="9638"/>
      </w:tabs>
      <w:ind w:firstLine="720"/>
      <w:jc w:val="both"/>
    </w:pPr>
    <w:rPr>
      <w:rFonts w:ascii="Calibri" w:eastAsia="Calibri" w:hAnsi="Calibri"/>
      <w:color w:val="auto"/>
      <w:sz w:val="22"/>
      <w:szCs w:val="22"/>
    </w:rPr>
  </w:style>
  <w:style w:type="character" w:customStyle="1" w:styleId="HeaderChar">
    <w:name w:val="Header Char"/>
    <w:basedOn w:val="DefaultParagraphFont"/>
    <w:link w:val="Header"/>
    <w:uiPriority w:val="99"/>
    <w:rsid w:val="00E063D8"/>
    <w:rPr>
      <w:rFonts w:ascii="Calibri" w:eastAsia="Calibri" w:hAnsi="Calibri" w:cs="Times New Roman"/>
    </w:rPr>
  </w:style>
  <w:style w:type="paragraph" w:styleId="Footer">
    <w:name w:val="footer"/>
    <w:basedOn w:val="Normal"/>
    <w:link w:val="FooterChar"/>
    <w:uiPriority w:val="99"/>
    <w:unhideWhenUsed/>
    <w:rsid w:val="00E063D8"/>
    <w:pPr>
      <w:tabs>
        <w:tab w:val="center" w:pos="4819"/>
        <w:tab w:val="right" w:pos="9638"/>
      </w:tabs>
      <w:ind w:firstLine="720"/>
      <w:jc w:val="both"/>
    </w:pPr>
    <w:rPr>
      <w:rFonts w:ascii="Calibri" w:eastAsia="Calibri" w:hAnsi="Calibri"/>
      <w:color w:val="auto"/>
      <w:sz w:val="22"/>
      <w:szCs w:val="22"/>
    </w:rPr>
  </w:style>
  <w:style w:type="character" w:customStyle="1" w:styleId="FooterChar">
    <w:name w:val="Footer Char"/>
    <w:basedOn w:val="DefaultParagraphFont"/>
    <w:link w:val="Footer"/>
    <w:uiPriority w:val="99"/>
    <w:rsid w:val="00E063D8"/>
    <w:rPr>
      <w:rFonts w:ascii="Calibri" w:eastAsia="Calibri" w:hAnsi="Calibri" w:cs="Times New Roman"/>
    </w:rPr>
  </w:style>
  <w:style w:type="paragraph" w:styleId="Caption">
    <w:name w:val="caption"/>
    <w:basedOn w:val="Normal"/>
    <w:next w:val="Normal"/>
    <w:link w:val="CaptionChar"/>
    <w:uiPriority w:val="99"/>
    <w:unhideWhenUsed/>
    <w:qFormat/>
    <w:rsid w:val="00E063D8"/>
    <w:pPr>
      <w:spacing w:after="200"/>
    </w:pPr>
    <w:rPr>
      <w:b/>
      <w:bCs/>
      <w:color w:val="4F81BD" w:themeColor="accent1"/>
      <w:sz w:val="18"/>
      <w:szCs w:val="18"/>
    </w:rPr>
  </w:style>
  <w:style w:type="paragraph" w:styleId="Revision">
    <w:name w:val="Revision"/>
    <w:hidden/>
    <w:uiPriority w:val="99"/>
    <w:semiHidden/>
    <w:rsid w:val="00E063D8"/>
    <w:pPr>
      <w:spacing w:after="0" w:line="240" w:lineRule="auto"/>
    </w:pPr>
    <w:rPr>
      <w:rFonts w:ascii="Times New Roman" w:eastAsia="Times New Roman" w:hAnsi="Times New Roman" w:cs="Times New Roman"/>
      <w:color w:val="000000"/>
      <w:sz w:val="20"/>
      <w:szCs w:val="20"/>
    </w:rPr>
  </w:style>
  <w:style w:type="paragraph" w:customStyle="1" w:styleId="TS11">
    <w:name w:val="TS 1.1."/>
    <w:basedOn w:val="Normal"/>
    <w:link w:val="TS11Diagrama"/>
    <w:qFormat/>
    <w:rsid w:val="0001447F"/>
    <w:pPr>
      <w:widowControl w:val="0"/>
      <w:numPr>
        <w:ilvl w:val="2"/>
        <w:numId w:val="22"/>
      </w:numPr>
      <w:tabs>
        <w:tab w:val="left" w:pos="1418"/>
      </w:tabs>
      <w:spacing w:before="120" w:line="276" w:lineRule="auto"/>
      <w:contextualSpacing/>
      <w:jc w:val="both"/>
      <w:outlineLvl w:val="0"/>
    </w:pPr>
    <w:rPr>
      <w:rFonts w:eastAsiaTheme="minorHAnsi" w:cstheme="minorBidi"/>
      <w:color w:val="auto"/>
      <w:sz w:val="24"/>
      <w:szCs w:val="24"/>
    </w:rPr>
  </w:style>
  <w:style w:type="paragraph" w:customStyle="1" w:styleId="TS111">
    <w:name w:val="TS 1.1.1."/>
    <w:basedOn w:val="Normal"/>
    <w:link w:val="TS111Diagrama"/>
    <w:qFormat/>
    <w:rsid w:val="0001447F"/>
    <w:pPr>
      <w:widowControl w:val="0"/>
      <w:numPr>
        <w:ilvl w:val="3"/>
        <w:numId w:val="22"/>
      </w:numPr>
      <w:tabs>
        <w:tab w:val="left" w:pos="1701"/>
      </w:tabs>
      <w:spacing w:line="276" w:lineRule="auto"/>
      <w:contextualSpacing/>
      <w:jc w:val="both"/>
      <w:outlineLvl w:val="0"/>
    </w:pPr>
    <w:rPr>
      <w:rFonts w:eastAsiaTheme="minorHAnsi" w:cstheme="minorBidi"/>
      <w:color w:val="auto"/>
      <w:sz w:val="24"/>
      <w:szCs w:val="24"/>
    </w:rPr>
  </w:style>
  <w:style w:type="paragraph" w:customStyle="1" w:styleId="TS1111">
    <w:name w:val="TS 1.1.1.1."/>
    <w:basedOn w:val="Normal"/>
    <w:qFormat/>
    <w:rsid w:val="0001447F"/>
    <w:pPr>
      <w:widowControl w:val="0"/>
      <w:numPr>
        <w:ilvl w:val="4"/>
        <w:numId w:val="22"/>
      </w:numPr>
      <w:tabs>
        <w:tab w:val="left" w:pos="567"/>
        <w:tab w:val="left" w:pos="1985"/>
      </w:tabs>
      <w:spacing w:line="276" w:lineRule="auto"/>
      <w:contextualSpacing/>
      <w:jc w:val="both"/>
      <w:outlineLvl w:val="0"/>
    </w:pPr>
    <w:rPr>
      <w:rFonts w:eastAsiaTheme="minorHAnsi" w:cstheme="minorBidi"/>
      <w:color w:val="auto"/>
      <w:sz w:val="24"/>
      <w:szCs w:val="24"/>
    </w:rPr>
  </w:style>
  <w:style w:type="paragraph" w:customStyle="1" w:styleId="TS11111">
    <w:name w:val="TS 1.1.1.1.1."/>
    <w:basedOn w:val="Normal"/>
    <w:qFormat/>
    <w:rsid w:val="0001447F"/>
    <w:pPr>
      <w:widowControl w:val="0"/>
      <w:numPr>
        <w:ilvl w:val="5"/>
        <w:numId w:val="22"/>
      </w:numPr>
      <w:tabs>
        <w:tab w:val="left" w:pos="567"/>
        <w:tab w:val="left" w:pos="2268"/>
      </w:tabs>
      <w:spacing w:line="276" w:lineRule="auto"/>
      <w:contextualSpacing/>
      <w:jc w:val="both"/>
      <w:outlineLvl w:val="0"/>
    </w:pPr>
    <w:rPr>
      <w:rFonts w:eastAsiaTheme="minorHAnsi" w:cstheme="minorBidi"/>
      <w:color w:val="auto"/>
      <w:sz w:val="24"/>
      <w:szCs w:val="24"/>
    </w:rPr>
  </w:style>
  <w:style w:type="paragraph" w:customStyle="1" w:styleId="TS111111">
    <w:name w:val="TS 1.1.1.1.1.1."/>
    <w:basedOn w:val="Normal"/>
    <w:qFormat/>
    <w:rsid w:val="0001447F"/>
    <w:pPr>
      <w:widowControl w:val="0"/>
      <w:numPr>
        <w:ilvl w:val="6"/>
        <w:numId w:val="22"/>
      </w:numPr>
      <w:tabs>
        <w:tab w:val="left" w:pos="567"/>
        <w:tab w:val="left" w:pos="2268"/>
      </w:tabs>
      <w:spacing w:line="276" w:lineRule="auto"/>
      <w:contextualSpacing/>
      <w:jc w:val="both"/>
      <w:outlineLvl w:val="0"/>
    </w:pPr>
    <w:rPr>
      <w:rFonts w:eastAsiaTheme="minorHAnsi" w:cstheme="minorBidi"/>
      <w:color w:val="auto"/>
      <w:sz w:val="24"/>
      <w:szCs w:val="24"/>
    </w:rPr>
  </w:style>
  <w:style w:type="paragraph" w:customStyle="1" w:styleId="TS1111111">
    <w:name w:val="TS 1.1.1.1.1.1.1."/>
    <w:basedOn w:val="Normal"/>
    <w:qFormat/>
    <w:rsid w:val="0001447F"/>
    <w:pPr>
      <w:widowControl w:val="0"/>
      <w:numPr>
        <w:ilvl w:val="7"/>
        <w:numId w:val="22"/>
      </w:numPr>
      <w:tabs>
        <w:tab w:val="left" w:pos="567"/>
        <w:tab w:val="left" w:pos="2410"/>
      </w:tabs>
      <w:spacing w:line="276" w:lineRule="auto"/>
      <w:contextualSpacing/>
      <w:jc w:val="both"/>
      <w:outlineLvl w:val="0"/>
    </w:pPr>
    <w:rPr>
      <w:rFonts w:eastAsiaTheme="minorHAnsi" w:cstheme="minorBidi"/>
      <w:color w:val="auto"/>
      <w:sz w:val="24"/>
      <w:szCs w:val="24"/>
    </w:rPr>
  </w:style>
  <w:style w:type="paragraph" w:customStyle="1" w:styleId="TS11111111">
    <w:name w:val="TS 1.1.1.1.1.1.1.1."/>
    <w:basedOn w:val="Normal"/>
    <w:qFormat/>
    <w:rsid w:val="0001447F"/>
    <w:pPr>
      <w:widowControl w:val="0"/>
      <w:numPr>
        <w:ilvl w:val="8"/>
        <w:numId w:val="22"/>
      </w:numPr>
      <w:tabs>
        <w:tab w:val="left" w:pos="567"/>
        <w:tab w:val="left" w:pos="2552"/>
      </w:tabs>
      <w:spacing w:line="276" w:lineRule="auto"/>
      <w:contextualSpacing/>
      <w:jc w:val="both"/>
      <w:outlineLvl w:val="0"/>
    </w:pPr>
    <w:rPr>
      <w:rFonts w:eastAsiaTheme="minorHAnsi" w:cstheme="minorBidi"/>
      <w:color w:val="auto"/>
      <w:sz w:val="24"/>
      <w:szCs w:val="24"/>
    </w:rPr>
  </w:style>
  <w:style w:type="paragraph" w:customStyle="1" w:styleId="TSI">
    <w:name w:val="TS I"/>
    <w:basedOn w:val="Normal"/>
    <w:qFormat/>
    <w:rsid w:val="0001447F"/>
    <w:pPr>
      <w:keepNext/>
      <w:pageBreakBefore/>
      <w:numPr>
        <w:numId w:val="22"/>
      </w:numPr>
      <w:tabs>
        <w:tab w:val="left" w:pos="567"/>
      </w:tabs>
      <w:spacing w:before="240" w:after="120" w:line="276" w:lineRule="auto"/>
      <w:contextualSpacing/>
      <w:jc w:val="center"/>
      <w:outlineLvl w:val="0"/>
    </w:pPr>
    <w:rPr>
      <w:rFonts w:eastAsiaTheme="minorHAnsi" w:cstheme="minorBidi"/>
      <w:b/>
      <w:color w:val="auto"/>
      <w:sz w:val="28"/>
      <w:szCs w:val="22"/>
    </w:rPr>
  </w:style>
  <w:style w:type="paragraph" w:customStyle="1" w:styleId="TS12">
    <w:name w:val="TS 1(2)"/>
    <w:basedOn w:val="Normal"/>
    <w:link w:val="TS12Diagrama"/>
    <w:qFormat/>
    <w:rsid w:val="0001447F"/>
    <w:pPr>
      <w:keepNext/>
      <w:numPr>
        <w:ilvl w:val="1"/>
        <w:numId w:val="22"/>
      </w:numPr>
      <w:tabs>
        <w:tab w:val="left" w:pos="1276"/>
      </w:tabs>
      <w:spacing w:before="120" w:line="276" w:lineRule="auto"/>
      <w:jc w:val="both"/>
      <w:outlineLvl w:val="0"/>
    </w:pPr>
    <w:rPr>
      <w:rFonts w:eastAsiaTheme="minorHAnsi" w:cstheme="minorBidi"/>
      <w:b/>
      <w:color w:val="auto"/>
      <w:sz w:val="24"/>
      <w:szCs w:val="24"/>
    </w:rPr>
  </w:style>
  <w:style w:type="character" w:customStyle="1" w:styleId="TS11Diagrama">
    <w:name w:val="TS 1.1. Diagrama"/>
    <w:basedOn w:val="DefaultParagraphFont"/>
    <w:link w:val="TS11"/>
    <w:rsid w:val="0001447F"/>
    <w:rPr>
      <w:rFonts w:ascii="Times New Roman" w:hAnsi="Times New Roman"/>
      <w:sz w:val="24"/>
      <w:szCs w:val="24"/>
    </w:rPr>
  </w:style>
  <w:style w:type="character" w:customStyle="1" w:styleId="CaptionChar">
    <w:name w:val="Caption Char"/>
    <w:link w:val="Caption"/>
    <w:uiPriority w:val="99"/>
    <w:locked/>
    <w:rsid w:val="00AC6BDD"/>
    <w:rPr>
      <w:rFonts w:ascii="Times New Roman" w:eastAsia="Times New Roman" w:hAnsi="Times New Roman" w:cs="Times New Roman"/>
      <w:b/>
      <w:bCs/>
      <w:color w:val="4F81BD" w:themeColor="accent1"/>
      <w:sz w:val="18"/>
      <w:szCs w:val="18"/>
    </w:rPr>
  </w:style>
  <w:style w:type="character" w:customStyle="1" w:styleId="TS111Diagrama">
    <w:name w:val="TS 1.1.1. Diagrama"/>
    <w:basedOn w:val="DefaultParagraphFont"/>
    <w:link w:val="TS111"/>
    <w:rsid w:val="00AC6BDD"/>
    <w:rPr>
      <w:rFonts w:ascii="Times New Roman" w:hAnsi="Times New Roman"/>
      <w:sz w:val="24"/>
      <w:szCs w:val="24"/>
    </w:rPr>
  </w:style>
  <w:style w:type="character" w:customStyle="1" w:styleId="TS12Diagrama">
    <w:name w:val="TS 1(2) Diagrama"/>
    <w:basedOn w:val="DefaultParagraphFont"/>
    <w:link w:val="TS12"/>
    <w:rsid w:val="00AC6BDD"/>
    <w:rPr>
      <w:rFonts w:ascii="Times New Roman" w:hAnsi="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63D8"/>
    <w:pPr>
      <w:spacing w:after="0" w:line="240" w:lineRule="auto"/>
    </w:pPr>
    <w:rPr>
      <w:rFonts w:ascii="Times New Roman" w:eastAsia="Times New Roman" w:hAnsi="Times New Roman" w:cs="Times New Roman"/>
      <w:color w:val="000000"/>
      <w:sz w:val="20"/>
      <w:szCs w:val="20"/>
    </w:rPr>
  </w:style>
  <w:style w:type="paragraph" w:styleId="Heading1">
    <w:name w:val="heading 1"/>
    <w:basedOn w:val="Normal"/>
    <w:next w:val="Normal"/>
    <w:link w:val="Heading1Char"/>
    <w:uiPriority w:val="99"/>
    <w:qFormat/>
    <w:rsid w:val="00E063D8"/>
    <w:pPr>
      <w:keepNext/>
      <w:keepLines/>
      <w:spacing w:before="480" w:after="120"/>
      <w:contextualSpacing/>
      <w:outlineLvl w:val="0"/>
    </w:pPr>
    <w:rPr>
      <w:b/>
      <w:sz w:val="48"/>
      <w:szCs w:val="48"/>
    </w:rPr>
  </w:style>
  <w:style w:type="paragraph" w:styleId="Heading2">
    <w:name w:val="heading 2"/>
    <w:basedOn w:val="Normal"/>
    <w:next w:val="Normal"/>
    <w:link w:val="Heading2Char"/>
    <w:rsid w:val="00E063D8"/>
    <w:pPr>
      <w:keepNext/>
      <w:keepLines/>
      <w:jc w:val="both"/>
      <w:outlineLvl w:val="1"/>
    </w:pPr>
    <w:rPr>
      <w:b/>
      <w:sz w:val="24"/>
      <w:szCs w:val="24"/>
    </w:rPr>
  </w:style>
  <w:style w:type="paragraph" w:styleId="Heading3">
    <w:name w:val="heading 3"/>
    <w:basedOn w:val="Normal"/>
    <w:next w:val="Normal"/>
    <w:link w:val="Heading3Char"/>
    <w:qFormat/>
    <w:rsid w:val="00E063D8"/>
    <w:pPr>
      <w:keepNext/>
      <w:keepLines/>
      <w:jc w:val="center"/>
      <w:outlineLvl w:val="2"/>
    </w:pPr>
    <w:rPr>
      <w:b/>
      <w:sz w:val="24"/>
      <w:szCs w:val="24"/>
    </w:rPr>
  </w:style>
  <w:style w:type="paragraph" w:styleId="Heading4">
    <w:name w:val="heading 4"/>
    <w:basedOn w:val="Normal"/>
    <w:next w:val="Normal"/>
    <w:link w:val="Heading4Char"/>
    <w:rsid w:val="00E063D8"/>
    <w:pPr>
      <w:keepNext/>
      <w:keepLines/>
      <w:jc w:val="center"/>
      <w:outlineLvl w:val="3"/>
    </w:pPr>
    <w:rPr>
      <w:sz w:val="28"/>
      <w:szCs w:val="28"/>
    </w:rPr>
  </w:style>
  <w:style w:type="paragraph" w:styleId="Heading5">
    <w:name w:val="heading 5"/>
    <w:basedOn w:val="Normal"/>
    <w:next w:val="Normal"/>
    <w:link w:val="Heading5Char"/>
    <w:rsid w:val="00E063D8"/>
    <w:pPr>
      <w:keepNext/>
      <w:keepLines/>
      <w:outlineLvl w:val="4"/>
    </w:pPr>
    <w:rPr>
      <w:sz w:val="24"/>
      <w:szCs w:val="24"/>
    </w:rPr>
  </w:style>
  <w:style w:type="paragraph" w:styleId="Heading6">
    <w:name w:val="heading 6"/>
    <w:basedOn w:val="Normal"/>
    <w:next w:val="Normal"/>
    <w:link w:val="Heading6Char"/>
    <w:rsid w:val="00E063D8"/>
    <w:pPr>
      <w:keepNext/>
      <w:keepLines/>
      <w:spacing w:line="360" w:lineRule="auto"/>
      <w:jc w:val="both"/>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63D8"/>
    <w:rPr>
      <w:rFonts w:ascii="Times New Roman" w:eastAsia="Times New Roman" w:hAnsi="Times New Roman" w:cs="Times New Roman"/>
      <w:b/>
      <w:color w:val="000000"/>
      <w:sz w:val="48"/>
      <w:szCs w:val="48"/>
    </w:rPr>
  </w:style>
  <w:style w:type="character" w:customStyle="1" w:styleId="Heading2Char">
    <w:name w:val="Heading 2 Char"/>
    <w:basedOn w:val="DefaultParagraphFont"/>
    <w:link w:val="Heading2"/>
    <w:rsid w:val="00E063D8"/>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E063D8"/>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rsid w:val="00E063D8"/>
    <w:rPr>
      <w:rFonts w:ascii="Times New Roman" w:eastAsia="Times New Roman" w:hAnsi="Times New Roman" w:cs="Times New Roman"/>
      <w:color w:val="000000"/>
      <w:sz w:val="28"/>
      <w:szCs w:val="28"/>
    </w:rPr>
  </w:style>
  <w:style w:type="character" w:customStyle="1" w:styleId="Heading5Char">
    <w:name w:val="Heading 5 Char"/>
    <w:basedOn w:val="DefaultParagraphFont"/>
    <w:link w:val="Heading5"/>
    <w:rsid w:val="00E063D8"/>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E063D8"/>
    <w:rPr>
      <w:rFonts w:ascii="Times New Roman" w:eastAsia="Times New Roman" w:hAnsi="Times New Roman" w:cs="Times New Roman"/>
      <w:color w:val="000000"/>
      <w:sz w:val="24"/>
      <w:szCs w:val="24"/>
    </w:rPr>
  </w:style>
  <w:style w:type="table" w:customStyle="1" w:styleId="TableNormal1">
    <w:name w:val="Table Normal1"/>
    <w:rsid w:val="00E063D8"/>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styleId="Title">
    <w:name w:val="Title"/>
    <w:basedOn w:val="Normal"/>
    <w:next w:val="Normal"/>
    <w:link w:val="TitleChar"/>
    <w:rsid w:val="00E063D8"/>
    <w:pPr>
      <w:keepNext/>
      <w:keepLines/>
      <w:spacing w:before="480" w:after="120"/>
      <w:contextualSpacing/>
    </w:pPr>
    <w:rPr>
      <w:b/>
      <w:sz w:val="72"/>
      <w:szCs w:val="72"/>
    </w:rPr>
  </w:style>
  <w:style w:type="character" w:customStyle="1" w:styleId="TitleChar">
    <w:name w:val="Title Char"/>
    <w:basedOn w:val="DefaultParagraphFont"/>
    <w:link w:val="Title"/>
    <w:rsid w:val="00E063D8"/>
    <w:rPr>
      <w:rFonts w:ascii="Times New Roman" w:eastAsia="Times New Roman" w:hAnsi="Times New Roman" w:cs="Times New Roman"/>
      <w:b/>
      <w:color w:val="000000"/>
      <w:sz w:val="72"/>
      <w:szCs w:val="72"/>
    </w:rPr>
  </w:style>
  <w:style w:type="paragraph" w:styleId="Subtitle">
    <w:name w:val="Subtitle"/>
    <w:basedOn w:val="Normal"/>
    <w:next w:val="Normal"/>
    <w:link w:val="SubtitleChar"/>
    <w:rsid w:val="00E063D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063D8"/>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E063D8"/>
  </w:style>
  <w:style w:type="character" w:customStyle="1" w:styleId="CommentTextChar">
    <w:name w:val="Comment Text Char"/>
    <w:basedOn w:val="DefaultParagraphFont"/>
    <w:link w:val="CommentText"/>
    <w:uiPriority w:val="99"/>
    <w:semiHidden/>
    <w:rsid w:val="00E063D8"/>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E063D8"/>
    <w:rPr>
      <w:sz w:val="16"/>
      <w:szCs w:val="16"/>
    </w:rPr>
  </w:style>
  <w:style w:type="paragraph" w:styleId="BalloonText">
    <w:name w:val="Balloon Text"/>
    <w:basedOn w:val="Normal"/>
    <w:link w:val="BalloonTextChar"/>
    <w:uiPriority w:val="99"/>
    <w:semiHidden/>
    <w:unhideWhenUsed/>
    <w:rsid w:val="00E063D8"/>
    <w:rPr>
      <w:rFonts w:ascii="Tahoma" w:hAnsi="Tahoma" w:cs="Tahoma"/>
      <w:sz w:val="16"/>
      <w:szCs w:val="16"/>
    </w:rPr>
  </w:style>
  <w:style w:type="character" w:customStyle="1" w:styleId="BalloonTextChar">
    <w:name w:val="Balloon Text Char"/>
    <w:basedOn w:val="DefaultParagraphFont"/>
    <w:link w:val="BalloonText"/>
    <w:uiPriority w:val="99"/>
    <w:semiHidden/>
    <w:rsid w:val="00E063D8"/>
    <w:rPr>
      <w:rFonts w:ascii="Tahoma" w:eastAsia="Times New Roman"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063D8"/>
    <w:rPr>
      <w:b/>
      <w:bCs/>
    </w:rPr>
  </w:style>
  <w:style w:type="character" w:customStyle="1" w:styleId="CommentSubjectChar">
    <w:name w:val="Comment Subject Char"/>
    <w:basedOn w:val="CommentTextChar"/>
    <w:link w:val="CommentSubject"/>
    <w:uiPriority w:val="99"/>
    <w:semiHidden/>
    <w:rsid w:val="00E063D8"/>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E063D8"/>
    <w:pPr>
      <w:ind w:left="720"/>
      <w:contextualSpacing/>
    </w:pPr>
  </w:style>
  <w:style w:type="character" w:styleId="Hyperlink">
    <w:name w:val="Hyperlink"/>
    <w:basedOn w:val="DefaultParagraphFont"/>
    <w:uiPriority w:val="99"/>
    <w:unhideWhenUsed/>
    <w:rsid w:val="00E063D8"/>
    <w:rPr>
      <w:color w:val="0000FF" w:themeColor="hyperlink"/>
      <w:u w:val="single"/>
    </w:rPr>
  </w:style>
  <w:style w:type="paragraph" w:styleId="FootnoteText">
    <w:name w:val="footnote text"/>
    <w:basedOn w:val="Normal"/>
    <w:link w:val="FootnoteTextChar"/>
    <w:uiPriority w:val="99"/>
    <w:semiHidden/>
    <w:unhideWhenUsed/>
    <w:rsid w:val="00E063D8"/>
  </w:style>
  <w:style w:type="character" w:customStyle="1" w:styleId="FootnoteTextChar">
    <w:name w:val="Footnote Text Char"/>
    <w:basedOn w:val="DefaultParagraphFont"/>
    <w:link w:val="FootnoteText"/>
    <w:uiPriority w:val="99"/>
    <w:semiHidden/>
    <w:rsid w:val="00E063D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063D8"/>
    <w:rPr>
      <w:vertAlign w:val="superscript"/>
    </w:rPr>
  </w:style>
  <w:style w:type="paragraph" w:styleId="EndnoteText">
    <w:name w:val="endnote text"/>
    <w:basedOn w:val="Normal"/>
    <w:link w:val="EndnoteTextChar"/>
    <w:uiPriority w:val="99"/>
    <w:semiHidden/>
    <w:unhideWhenUsed/>
    <w:rsid w:val="00E063D8"/>
  </w:style>
  <w:style w:type="character" w:customStyle="1" w:styleId="EndnoteTextChar">
    <w:name w:val="Endnote Text Char"/>
    <w:basedOn w:val="DefaultParagraphFont"/>
    <w:link w:val="EndnoteText"/>
    <w:uiPriority w:val="99"/>
    <w:semiHidden/>
    <w:rsid w:val="00E063D8"/>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E063D8"/>
    <w:rPr>
      <w:vertAlign w:val="superscript"/>
    </w:rPr>
  </w:style>
  <w:style w:type="paragraph" w:styleId="BodyText">
    <w:name w:val="Body Text"/>
    <w:basedOn w:val="Normal"/>
    <w:link w:val="BodyTextChar"/>
    <w:uiPriority w:val="99"/>
    <w:semiHidden/>
    <w:unhideWhenUsed/>
    <w:rsid w:val="00E063D8"/>
    <w:pPr>
      <w:spacing w:after="120"/>
    </w:pPr>
  </w:style>
  <w:style w:type="character" w:customStyle="1" w:styleId="BodyTextChar">
    <w:name w:val="Body Text Char"/>
    <w:basedOn w:val="DefaultParagraphFont"/>
    <w:link w:val="BodyText"/>
    <w:uiPriority w:val="99"/>
    <w:semiHidden/>
    <w:rsid w:val="00E063D8"/>
    <w:rPr>
      <w:rFonts w:ascii="Times New Roman" w:eastAsia="Times New Roman" w:hAnsi="Times New Roman" w:cs="Times New Roman"/>
      <w:color w:val="000000"/>
      <w:sz w:val="20"/>
      <w:szCs w:val="20"/>
    </w:rPr>
  </w:style>
  <w:style w:type="table" w:styleId="TableGrid">
    <w:name w:val="Table Grid"/>
    <w:basedOn w:val="TableNormal"/>
    <w:uiPriority w:val="59"/>
    <w:rsid w:val="00E063D8"/>
    <w:pP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063D8"/>
    <w:pPr>
      <w:spacing w:after="0" w:line="240" w:lineRule="auto"/>
    </w:pPr>
    <w:rPr>
      <w:rFonts w:ascii="Times New Roman" w:eastAsia="Times New Roman" w:hAnsi="Times New Roman" w:cs="Times New Roman"/>
      <w:color w:val="000000"/>
      <w:sz w:val="20"/>
      <w:szCs w:val="20"/>
    </w:rPr>
  </w:style>
  <w:style w:type="character" w:styleId="SubtleEmphasis">
    <w:name w:val="Subtle Emphasis"/>
    <w:basedOn w:val="DefaultParagraphFont"/>
    <w:uiPriority w:val="19"/>
    <w:qFormat/>
    <w:rsid w:val="00E063D8"/>
    <w:rPr>
      <w:i/>
      <w:iCs/>
      <w:color w:val="808080" w:themeColor="text1" w:themeTint="7F"/>
    </w:rPr>
  </w:style>
  <w:style w:type="paragraph" w:customStyle="1" w:styleId="Style1">
    <w:name w:val="Style1"/>
    <w:basedOn w:val="NoSpacing"/>
    <w:link w:val="Style1Char"/>
    <w:qFormat/>
    <w:rsid w:val="00E063D8"/>
  </w:style>
  <w:style w:type="character" w:customStyle="1" w:styleId="NoSpacingChar">
    <w:name w:val="No Spacing Char"/>
    <w:basedOn w:val="DefaultParagraphFont"/>
    <w:link w:val="NoSpacing"/>
    <w:uiPriority w:val="1"/>
    <w:rsid w:val="00E063D8"/>
    <w:rPr>
      <w:rFonts w:ascii="Times New Roman" w:eastAsia="Times New Roman" w:hAnsi="Times New Roman" w:cs="Times New Roman"/>
      <w:color w:val="000000"/>
      <w:sz w:val="20"/>
      <w:szCs w:val="20"/>
    </w:rPr>
  </w:style>
  <w:style w:type="character" w:customStyle="1" w:styleId="Style1Char">
    <w:name w:val="Style1 Char"/>
    <w:basedOn w:val="NoSpacingChar"/>
    <w:link w:val="Style1"/>
    <w:rsid w:val="00E063D8"/>
    <w:rPr>
      <w:rFonts w:ascii="Times New Roman" w:eastAsia="Times New Roman" w:hAnsi="Times New Roman" w:cs="Times New Roman"/>
      <w:color w:val="000000"/>
      <w:sz w:val="20"/>
      <w:szCs w:val="20"/>
    </w:rPr>
  </w:style>
  <w:style w:type="character" w:styleId="PlaceholderText">
    <w:name w:val="Placeholder Text"/>
    <w:basedOn w:val="DefaultParagraphFont"/>
    <w:uiPriority w:val="99"/>
    <w:semiHidden/>
    <w:rsid w:val="00E063D8"/>
    <w:rPr>
      <w:rFonts w:cs="Times New Roman"/>
      <w:color w:val="808080"/>
    </w:rPr>
  </w:style>
  <w:style w:type="paragraph" w:customStyle="1" w:styleId="ListParagraph1">
    <w:name w:val="List Paragraph1"/>
    <w:basedOn w:val="Normal"/>
    <w:uiPriority w:val="99"/>
    <w:rsid w:val="00E063D8"/>
    <w:pPr>
      <w:widowControl w:val="0"/>
      <w:autoSpaceDE w:val="0"/>
      <w:autoSpaceDN w:val="0"/>
      <w:adjustRightInd w:val="0"/>
      <w:ind w:left="720"/>
      <w:contextualSpacing/>
    </w:pPr>
    <w:rPr>
      <w:rFonts w:ascii="Arial" w:hAnsi="Arial" w:cs="Arial"/>
      <w:color w:val="auto"/>
      <w:lang w:eastAsia="lt-LT"/>
    </w:rPr>
  </w:style>
  <w:style w:type="paragraph" w:customStyle="1" w:styleId="NoSpacing1">
    <w:name w:val="No Spacing1"/>
    <w:uiPriority w:val="99"/>
    <w:rsid w:val="00E063D8"/>
    <w:pPr>
      <w:widowControl w:val="0"/>
      <w:autoSpaceDE w:val="0"/>
      <w:autoSpaceDN w:val="0"/>
      <w:adjustRightInd w:val="0"/>
      <w:spacing w:after="0" w:line="240" w:lineRule="auto"/>
    </w:pPr>
    <w:rPr>
      <w:rFonts w:ascii="Arial" w:eastAsia="Times New Roman" w:hAnsi="Arial" w:cs="Arial"/>
      <w:sz w:val="20"/>
      <w:szCs w:val="20"/>
      <w:lang w:eastAsia="lt-LT"/>
    </w:rPr>
  </w:style>
  <w:style w:type="paragraph" w:styleId="Header">
    <w:name w:val="header"/>
    <w:basedOn w:val="Normal"/>
    <w:link w:val="HeaderChar"/>
    <w:uiPriority w:val="99"/>
    <w:unhideWhenUsed/>
    <w:rsid w:val="00E063D8"/>
    <w:pPr>
      <w:tabs>
        <w:tab w:val="center" w:pos="4819"/>
        <w:tab w:val="right" w:pos="9638"/>
      </w:tabs>
      <w:ind w:firstLine="720"/>
      <w:jc w:val="both"/>
    </w:pPr>
    <w:rPr>
      <w:rFonts w:ascii="Calibri" w:eastAsia="Calibri" w:hAnsi="Calibri"/>
      <w:color w:val="auto"/>
      <w:sz w:val="22"/>
      <w:szCs w:val="22"/>
    </w:rPr>
  </w:style>
  <w:style w:type="character" w:customStyle="1" w:styleId="HeaderChar">
    <w:name w:val="Header Char"/>
    <w:basedOn w:val="DefaultParagraphFont"/>
    <w:link w:val="Header"/>
    <w:uiPriority w:val="99"/>
    <w:rsid w:val="00E063D8"/>
    <w:rPr>
      <w:rFonts w:ascii="Calibri" w:eastAsia="Calibri" w:hAnsi="Calibri" w:cs="Times New Roman"/>
    </w:rPr>
  </w:style>
  <w:style w:type="paragraph" w:styleId="Footer">
    <w:name w:val="footer"/>
    <w:basedOn w:val="Normal"/>
    <w:link w:val="FooterChar"/>
    <w:uiPriority w:val="99"/>
    <w:unhideWhenUsed/>
    <w:rsid w:val="00E063D8"/>
    <w:pPr>
      <w:tabs>
        <w:tab w:val="center" w:pos="4819"/>
        <w:tab w:val="right" w:pos="9638"/>
      </w:tabs>
      <w:ind w:firstLine="720"/>
      <w:jc w:val="both"/>
    </w:pPr>
    <w:rPr>
      <w:rFonts w:ascii="Calibri" w:eastAsia="Calibri" w:hAnsi="Calibri"/>
      <w:color w:val="auto"/>
      <w:sz w:val="22"/>
      <w:szCs w:val="22"/>
    </w:rPr>
  </w:style>
  <w:style w:type="character" w:customStyle="1" w:styleId="FooterChar">
    <w:name w:val="Footer Char"/>
    <w:basedOn w:val="DefaultParagraphFont"/>
    <w:link w:val="Footer"/>
    <w:uiPriority w:val="99"/>
    <w:rsid w:val="00E063D8"/>
    <w:rPr>
      <w:rFonts w:ascii="Calibri" w:eastAsia="Calibri" w:hAnsi="Calibri" w:cs="Times New Roman"/>
    </w:rPr>
  </w:style>
  <w:style w:type="paragraph" w:styleId="Caption">
    <w:name w:val="caption"/>
    <w:basedOn w:val="Normal"/>
    <w:next w:val="Normal"/>
    <w:link w:val="CaptionChar"/>
    <w:uiPriority w:val="99"/>
    <w:unhideWhenUsed/>
    <w:qFormat/>
    <w:rsid w:val="00E063D8"/>
    <w:pPr>
      <w:spacing w:after="200"/>
    </w:pPr>
    <w:rPr>
      <w:b/>
      <w:bCs/>
      <w:color w:val="4F81BD" w:themeColor="accent1"/>
      <w:sz w:val="18"/>
      <w:szCs w:val="18"/>
    </w:rPr>
  </w:style>
  <w:style w:type="paragraph" w:styleId="Revision">
    <w:name w:val="Revision"/>
    <w:hidden/>
    <w:uiPriority w:val="99"/>
    <w:semiHidden/>
    <w:rsid w:val="00E063D8"/>
    <w:pPr>
      <w:spacing w:after="0" w:line="240" w:lineRule="auto"/>
    </w:pPr>
    <w:rPr>
      <w:rFonts w:ascii="Times New Roman" w:eastAsia="Times New Roman" w:hAnsi="Times New Roman" w:cs="Times New Roman"/>
      <w:color w:val="000000"/>
      <w:sz w:val="20"/>
      <w:szCs w:val="20"/>
    </w:rPr>
  </w:style>
  <w:style w:type="paragraph" w:customStyle="1" w:styleId="TS11">
    <w:name w:val="TS 1.1."/>
    <w:basedOn w:val="Normal"/>
    <w:link w:val="TS11Diagrama"/>
    <w:qFormat/>
    <w:rsid w:val="0001447F"/>
    <w:pPr>
      <w:widowControl w:val="0"/>
      <w:numPr>
        <w:ilvl w:val="2"/>
        <w:numId w:val="22"/>
      </w:numPr>
      <w:tabs>
        <w:tab w:val="left" w:pos="1418"/>
      </w:tabs>
      <w:spacing w:before="120" w:line="276" w:lineRule="auto"/>
      <w:contextualSpacing/>
      <w:jc w:val="both"/>
      <w:outlineLvl w:val="0"/>
    </w:pPr>
    <w:rPr>
      <w:rFonts w:eastAsiaTheme="minorHAnsi" w:cstheme="minorBidi"/>
      <w:color w:val="auto"/>
      <w:sz w:val="24"/>
      <w:szCs w:val="24"/>
    </w:rPr>
  </w:style>
  <w:style w:type="paragraph" w:customStyle="1" w:styleId="TS111">
    <w:name w:val="TS 1.1.1."/>
    <w:basedOn w:val="Normal"/>
    <w:link w:val="TS111Diagrama"/>
    <w:qFormat/>
    <w:rsid w:val="0001447F"/>
    <w:pPr>
      <w:widowControl w:val="0"/>
      <w:numPr>
        <w:ilvl w:val="3"/>
        <w:numId w:val="22"/>
      </w:numPr>
      <w:tabs>
        <w:tab w:val="left" w:pos="1701"/>
      </w:tabs>
      <w:spacing w:line="276" w:lineRule="auto"/>
      <w:contextualSpacing/>
      <w:jc w:val="both"/>
      <w:outlineLvl w:val="0"/>
    </w:pPr>
    <w:rPr>
      <w:rFonts w:eastAsiaTheme="minorHAnsi" w:cstheme="minorBidi"/>
      <w:color w:val="auto"/>
      <w:sz w:val="24"/>
      <w:szCs w:val="24"/>
    </w:rPr>
  </w:style>
  <w:style w:type="paragraph" w:customStyle="1" w:styleId="TS1111">
    <w:name w:val="TS 1.1.1.1."/>
    <w:basedOn w:val="Normal"/>
    <w:qFormat/>
    <w:rsid w:val="0001447F"/>
    <w:pPr>
      <w:widowControl w:val="0"/>
      <w:numPr>
        <w:ilvl w:val="4"/>
        <w:numId w:val="22"/>
      </w:numPr>
      <w:tabs>
        <w:tab w:val="left" w:pos="567"/>
        <w:tab w:val="left" w:pos="1985"/>
      </w:tabs>
      <w:spacing w:line="276" w:lineRule="auto"/>
      <w:contextualSpacing/>
      <w:jc w:val="both"/>
      <w:outlineLvl w:val="0"/>
    </w:pPr>
    <w:rPr>
      <w:rFonts w:eastAsiaTheme="minorHAnsi" w:cstheme="minorBidi"/>
      <w:color w:val="auto"/>
      <w:sz w:val="24"/>
      <w:szCs w:val="24"/>
    </w:rPr>
  </w:style>
  <w:style w:type="paragraph" w:customStyle="1" w:styleId="TS11111">
    <w:name w:val="TS 1.1.1.1.1."/>
    <w:basedOn w:val="Normal"/>
    <w:qFormat/>
    <w:rsid w:val="0001447F"/>
    <w:pPr>
      <w:widowControl w:val="0"/>
      <w:numPr>
        <w:ilvl w:val="5"/>
        <w:numId w:val="22"/>
      </w:numPr>
      <w:tabs>
        <w:tab w:val="left" w:pos="567"/>
        <w:tab w:val="left" w:pos="2268"/>
      </w:tabs>
      <w:spacing w:line="276" w:lineRule="auto"/>
      <w:contextualSpacing/>
      <w:jc w:val="both"/>
      <w:outlineLvl w:val="0"/>
    </w:pPr>
    <w:rPr>
      <w:rFonts w:eastAsiaTheme="minorHAnsi" w:cstheme="minorBidi"/>
      <w:color w:val="auto"/>
      <w:sz w:val="24"/>
      <w:szCs w:val="24"/>
    </w:rPr>
  </w:style>
  <w:style w:type="paragraph" w:customStyle="1" w:styleId="TS111111">
    <w:name w:val="TS 1.1.1.1.1.1."/>
    <w:basedOn w:val="Normal"/>
    <w:qFormat/>
    <w:rsid w:val="0001447F"/>
    <w:pPr>
      <w:widowControl w:val="0"/>
      <w:numPr>
        <w:ilvl w:val="6"/>
        <w:numId w:val="22"/>
      </w:numPr>
      <w:tabs>
        <w:tab w:val="left" w:pos="567"/>
        <w:tab w:val="left" w:pos="2268"/>
      </w:tabs>
      <w:spacing w:line="276" w:lineRule="auto"/>
      <w:contextualSpacing/>
      <w:jc w:val="both"/>
      <w:outlineLvl w:val="0"/>
    </w:pPr>
    <w:rPr>
      <w:rFonts w:eastAsiaTheme="minorHAnsi" w:cstheme="minorBidi"/>
      <w:color w:val="auto"/>
      <w:sz w:val="24"/>
      <w:szCs w:val="24"/>
    </w:rPr>
  </w:style>
  <w:style w:type="paragraph" w:customStyle="1" w:styleId="TS1111111">
    <w:name w:val="TS 1.1.1.1.1.1.1."/>
    <w:basedOn w:val="Normal"/>
    <w:qFormat/>
    <w:rsid w:val="0001447F"/>
    <w:pPr>
      <w:widowControl w:val="0"/>
      <w:numPr>
        <w:ilvl w:val="7"/>
        <w:numId w:val="22"/>
      </w:numPr>
      <w:tabs>
        <w:tab w:val="left" w:pos="567"/>
        <w:tab w:val="left" w:pos="2410"/>
      </w:tabs>
      <w:spacing w:line="276" w:lineRule="auto"/>
      <w:contextualSpacing/>
      <w:jc w:val="both"/>
      <w:outlineLvl w:val="0"/>
    </w:pPr>
    <w:rPr>
      <w:rFonts w:eastAsiaTheme="minorHAnsi" w:cstheme="minorBidi"/>
      <w:color w:val="auto"/>
      <w:sz w:val="24"/>
      <w:szCs w:val="24"/>
    </w:rPr>
  </w:style>
  <w:style w:type="paragraph" w:customStyle="1" w:styleId="TS11111111">
    <w:name w:val="TS 1.1.1.1.1.1.1.1."/>
    <w:basedOn w:val="Normal"/>
    <w:qFormat/>
    <w:rsid w:val="0001447F"/>
    <w:pPr>
      <w:widowControl w:val="0"/>
      <w:numPr>
        <w:ilvl w:val="8"/>
        <w:numId w:val="22"/>
      </w:numPr>
      <w:tabs>
        <w:tab w:val="left" w:pos="567"/>
        <w:tab w:val="left" w:pos="2552"/>
      </w:tabs>
      <w:spacing w:line="276" w:lineRule="auto"/>
      <w:contextualSpacing/>
      <w:jc w:val="both"/>
      <w:outlineLvl w:val="0"/>
    </w:pPr>
    <w:rPr>
      <w:rFonts w:eastAsiaTheme="minorHAnsi" w:cstheme="minorBidi"/>
      <w:color w:val="auto"/>
      <w:sz w:val="24"/>
      <w:szCs w:val="24"/>
    </w:rPr>
  </w:style>
  <w:style w:type="paragraph" w:customStyle="1" w:styleId="TSI">
    <w:name w:val="TS I"/>
    <w:basedOn w:val="Normal"/>
    <w:qFormat/>
    <w:rsid w:val="0001447F"/>
    <w:pPr>
      <w:keepNext/>
      <w:pageBreakBefore/>
      <w:numPr>
        <w:numId w:val="22"/>
      </w:numPr>
      <w:tabs>
        <w:tab w:val="left" w:pos="567"/>
      </w:tabs>
      <w:spacing w:before="240" w:after="120" w:line="276" w:lineRule="auto"/>
      <w:contextualSpacing/>
      <w:jc w:val="center"/>
      <w:outlineLvl w:val="0"/>
    </w:pPr>
    <w:rPr>
      <w:rFonts w:eastAsiaTheme="minorHAnsi" w:cstheme="minorBidi"/>
      <w:b/>
      <w:color w:val="auto"/>
      <w:sz w:val="28"/>
      <w:szCs w:val="22"/>
    </w:rPr>
  </w:style>
  <w:style w:type="paragraph" w:customStyle="1" w:styleId="TS12">
    <w:name w:val="TS 1(2)"/>
    <w:basedOn w:val="Normal"/>
    <w:link w:val="TS12Diagrama"/>
    <w:qFormat/>
    <w:rsid w:val="0001447F"/>
    <w:pPr>
      <w:keepNext/>
      <w:numPr>
        <w:ilvl w:val="1"/>
        <w:numId w:val="22"/>
      </w:numPr>
      <w:tabs>
        <w:tab w:val="left" w:pos="1276"/>
      </w:tabs>
      <w:spacing w:before="120" w:line="276" w:lineRule="auto"/>
      <w:jc w:val="both"/>
      <w:outlineLvl w:val="0"/>
    </w:pPr>
    <w:rPr>
      <w:rFonts w:eastAsiaTheme="minorHAnsi" w:cstheme="minorBidi"/>
      <w:b/>
      <w:color w:val="auto"/>
      <w:sz w:val="24"/>
      <w:szCs w:val="24"/>
    </w:rPr>
  </w:style>
  <w:style w:type="character" w:customStyle="1" w:styleId="TS11Diagrama">
    <w:name w:val="TS 1.1. Diagrama"/>
    <w:basedOn w:val="DefaultParagraphFont"/>
    <w:link w:val="TS11"/>
    <w:rsid w:val="0001447F"/>
    <w:rPr>
      <w:rFonts w:ascii="Times New Roman" w:hAnsi="Times New Roman"/>
      <w:sz w:val="24"/>
      <w:szCs w:val="24"/>
    </w:rPr>
  </w:style>
  <w:style w:type="character" w:customStyle="1" w:styleId="CaptionChar">
    <w:name w:val="Caption Char"/>
    <w:link w:val="Caption"/>
    <w:uiPriority w:val="99"/>
    <w:locked/>
    <w:rsid w:val="00AC6BDD"/>
    <w:rPr>
      <w:rFonts w:ascii="Times New Roman" w:eastAsia="Times New Roman" w:hAnsi="Times New Roman" w:cs="Times New Roman"/>
      <w:b/>
      <w:bCs/>
      <w:color w:val="4F81BD" w:themeColor="accent1"/>
      <w:sz w:val="18"/>
      <w:szCs w:val="18"/>
    </w:rPr>
  </w:style>
  <w:style w:type="character" w:customStyle="1" w:styleId="TS111Diagrama">
    <w:name w:val="TS 1.1.1. Diagrama"/>
    <w:basedOn w:val="DefaultParagraphFont"/>
    <w:link w:val="TS111"/>
    <w:rsid w:val="00AC6BDD"/>
    <w:rPr>
      <w:rFonts w:ascii="Times New Roman" w:hAnsi="Times New Roman"/>
      <w:sz w:val="24"/>
      <w:szCs w:val="24"/>
    </w:rPr>
  </w:style>
  <w:style w:type="character" w:customStyle="1" w:styleId="TS12Diagrama">
    <w:name w:val="TS 1(2) Diagrama"/>
    <w:basedOn w:val="DefaultParagraphFont"/>
    <w:link w:val="TS12"/>
    <w:rsid w:val="00AC6BDD"/>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03723">
      <w:bodyDiv w:val="1"/>
      <w:marLeft w:val="0"/>
      <w:marRight w:val="0"/>
      <w:marTop w:val="0"/>
      <w:marBottom w:val="0"/>
      <w:divBdr>
        <w:top w:val="none" w:sz="0" w:space="0" w:color="auto"/>
        <w:left w:val="none" w:sz="0" w:space="0" w:color="auto"/>
        <w:bottom w:val="none" w:sz="0" w:space="0" w:color="auto"/>
        <w:right w:val="none" w:sz="0" w:space="0" w:color="auto"/>
      </w:divBdr>
    </w:div>
    <w:div w:id="139365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11756</Words>
  <Characters>6701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Kastytis Lubys</dc:creator>
  <cp:lastModifiedBy>Kastytis Lubys</cp:lastModifiedBy>
  <cp:revision>11</cp:revision>
  <dcterms:created xsi:type="dcterms:W3CDTF">2018-01-14T15:04:00Z</dcterms:created>
  <dcterms:modified xsi:type="dcterms:W3CDTF">2018-01-15T05:17:00Z</dcterms:modified>
</cp:coreProperties>
</file>