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578A7" w14:textId="3F36381C" w:rsidR="00EF4256" w:rsidRDefault="00EE1883" w:rsidP="00EF4256">
      <w:pPr>
        <w:pStyle w:val="prastasiniatinklio"/>
        <w:spacing w:line="360" w:lineRule="auto"/>
        <w:jc w:val="both"/>
      </w:pPr>
      <w:r>
        <w:t>Apie nuriebinimą</w:t>
      </w:r>
    </w:p>
    <w:p w14:paraId="75628372" w14:textId="478EAFF4" w:rsidR="001926D5" w:rsidRDefault="00EE1883" w:rsidP="00EF4256">
      <w:pPr>
        <w:pStyle w:val="prastasiniatinklio"/>
        <w:spacing w:line="360" w:lineRule="auto"/>
        <w:jc w:val="both"/>
      </w:pPr>
      <w:r>
        <w:t>J</w:t>
      </w:r>
      <w:r w:rsidR="00F920E5" w:rsidRPr="00EF4256">
        <w:t xml:space="preserve">ei ant migdolų miltų pakuotės rašoma, kad jie yra </w:t>
      </w:r>
      <w:r w:rsidR="006F2654">
        <w:rPr>
          <w:i/>
        </w:rPr>
        <w:t>nuriebinti</w:t>
      </w:r>
      <w:r w:rsidR="00F920E5" w:rsidRPr="00EF4256">
        <w:t xml:space="preserve">, vadinasi, jie yra liesi, be riebalų? </w:t>
      </w:r>
      <w:r w:rsidR="001926D5" w:rsidRPr="00EF4256">
        <w:t xml:space="preserve">Va ir ne. Jei </w:t>
      </w:r>
      <w:r w:rsidR="000E4AE2">
        <w:t xml:space="preserve">tai </w:t>
      </w:r>
      <w:r w:rsidR="001926D5" w:rsidRPr="00EF4256">
        <w:t xml:space="preserve">būtų tiesa, miltai kaip tik </w:t>
      </w:r>
      <w:r w:rsidR="000E4AE2" w:rsidRPr="00EF4256">
        <w:t xml:space="preserve">būtų </w:t>
      </w:r>
      <w:r w:rsidR="001926D5" w:rsidRPr="00EF4256">
        <w:t xml:space="preserve">riebesni, nes </w:t>
      </w:r>
      <w:r w:rsidR="00EF4256" w:rsidRPr="00EF4256">
        <w:rPr>
          <w:i/>
        </w:rPr>
        <w:t>nuriebinti</w:t>
      </w:r>
      <w:r w:rsidR="00EF4256">
        <w:t xml:space="preserve"> reiškia </w:t>
      </w:r>
      <w:r w:rsidR="000E4AE2">
        <w:t>„</w:t>
      </w:r>
      <w:r w:rsidR="001926D5" w:rsidRPr="000E4AE2">
        <w:t>padaryti rieb</w:t>
      </w:r>
      <w:r w:rsidR="00EF4256" w:rsidRPr="000E4AE2">
        <w:t>ų</w:t>
      </w:r>
      <w:r w:rsidR="000E4AE2">
        <w:t>“</w:t>
      </w:r>
      <w:r w:rsidR="00EF4256">
        <w:t xml:space="preserve"> ar net </w:t>
      </w:r>
      <w:r w:rsidR="000E4AE2">
        <w:t>„</w:t>
      </w:r>
      <w:r w:rsidR="00EF4256" w:rsidRPr="000E4AE2">
        <w:t>pernelyg riebų</w:t>
      </w:r>
      <w:r w:rsidR="000E4AE2">
        <w:t>“</w:t>
      </w:r>
      <w:r w:rsidR="001926D5" w:rsidRPr="00EF4256">
        <w:t>, pavyzdžiui</w:t>
      </w:r>
      <w:r>
        <w:t>:</w:t>
      </w:r>
      <w:r w:rsidR="001926D5" w:rsidRPr="00EF4256">
        <w:t xml:space="preserve"> </w:t>
      </w:r>
      <w:r w:rsidR="001926D5" w:rsidRPr="00EF4256">
        <w:rPr>
          <w:rStyle w:val="Emfaz"/>
        </w:rPr>
        <w:t>Lėkštė taip nuriebinta, kad sunkiai atplaunama</w:t>
      </w:r>
      <w:r w:rsidR="001926D5" w:rsidRPr="00EF4256">
        <w:t xml:space="preserve">. Veiksmažodis </w:t>
      </w:r>
      <w:r w:rsidR="000E4AE2">
        <w:t>„</w:t>
      </w:r>
      <w:r w:rsidR="001926D5" w:rsidRPr="000E4AE2">
        <w:rPr>
          <w:rStyle w:val="Emfaz"/>
          <w:i w:val="0"/>
        </w:rPr>
        <w:t>nuriebinti</w:t>
      </w:r>
      <w:r w:rsidR="000E4AE2">
        <w:rPr>
          <w:rStyle w:val="Emfaz"/>
          <w:i w:val="0"/>
        </w:rPr>
        <w:t>“</w:t>
      </w:r>
      <w:r w:rsidR="001926D5" w:rsidRPr="00EF4256">
        <w:rPr>
          <w:rStyle w:val="Emfaz"/>
        </w:rPr>
        <w:t xml:space="preserve"> </w:t>
      </w:r>
      <w:r w:rsidR="001926D5" w:rsidRPr="00EF4256">
        <w:t xml:space="preserve">padarytas iš </w:t>
      </w:r>
      <w:r w:rsidR="000E4AE2">
        <w:t>„</w:t>
      </w:r>
      <w:r w:rsidR="001926D5" w:rsidRPr="000E4AE2">
        <w:rPr>
          <w:rStyle w:val="Emfaz"/>
          <w:i w:val="0"/>
        </w:rPr>
        <w:t>riebinti</w:t>
      </w:r>
      <w:r w:rsidR="000E4AE2">
        <w:rPr>
          <w:rStyle w:val="Emfaz"/>
          <w:i w:val="0"/>
        </w:rPr>
        <w:t>“</w:t>
      </w:r>
      <w:r w:rsidR="001926D5" w:rsidRPr="00EF4256">
        <w:t xml:space="preserve">, o </w:t>
      </w:r>
      <w:r w:rsidR="000E4AE2">
        <w:t>„</w:t>
      </w:r>
      <w:r w:rsidR="001926D5" w:rsidRPr="000E4AE2">
        <w:rPr>
          <w:rStyle w:val="Emfaz"/>
          <w:i w:val="0"/>
        </w:rPr>
        <w:t>riebinti</w:t>
      </w:r>
      <w:r w:rsidR="000E4AE2">
        <w:rPr>
          <w:rStyle w:val="Emfaz"/>
          <w:i w:val="0"/>
        </w:rPr>
        <w:t>“</w:t>
      </w:r>
      <w:r w:rsidR="001926D5" w:rsidRPr="00EF4256">
        <w:rPr>
          <w:rStyle w:val="Emfaz"/>
        </w:rPr>
        <w:t xml:space="preserve"> </w:t>
      </w:r>
      <w:r w:rsidR="001926D5" w:rsidRPr="00EF4256">
        <w:t xml:space="preserve">– iš būdvardžio </w:t>
      </w:r>
      <w:r w:rsidR="000E4AE2">
        <w:t>„</w:t>
      </w:r>
      <w:r w:rsidR="001926D5" w:rsidRPr="000E4AE2">
        <w:rPr>
          <w:rStyle w:val="Emfaz"/>
          <w:i w:val="0"/>
        </w:rPr>
        <w:t>riebus</w:t>
      </w:r>
      <w:r w:rsidR="000E4AE2">
        <w:rPr>
          <w:rStyle w:val="Emfaz"/>
          <w:i w:val="0"/>
        </w:rPr>
        <w:t>“</w:t>
      </w:r>
      <w:r w:rsidR="001926D5" w:rsidRPr="00EF4256">
        <w:t xml:space="preserve">. Palyginkime: </w:t>
      </w:r>
      <w:r w:rsidR="000E4AE2" w:rsidRPr="000E4AE2">
        <w:t>iš</w:t>
      </w:r>
      <w:r w:rsidR="000E4AE2" w:rsidRPr="000E4AE2">
        <w:rPr>
          <w:i/>
        </w:rPr>
        <w:t xml:space="preserve"> </w:t>
      </w:r>
      <w:r w:rsidR="000E4AE2" w:rsidRPr="000E4AE2">
        <w:t>„</w:t>
      </w:r>
      <w:r w:rsidR="000E4AE2" w:rsidRPr="000E4AE2">
        <w:rPr>
          <w:rStyle w:val="Emfaz"/>
          <w:i w:val="0"/>
        </w:rPr>
        <w:t>kreivas</w:t>
      </w:r>
      <w:r w:rsidR="000E4AE2">
        <w:rPr>
          <w:rStyle w:val="Emfaz"/>
          <w:i w:val="0"/>
        </w:rPr>
        <w:t xml:space="preserve">“ padarytas </w:t>
      </w:r>
      <w:r w:rsidR="000E4AE2">
        <w:t>„</w:t>
      </w:r>
      <w:r w:rsidR="000E4AE2" w:rsidRPr="000E4AE2">
        <w:rPr>
          <w:rStyle w:val="Emfaz"/>
          <w:i w:val="0"/>
        </w:rPr>
        <w:t>kreivinti</w:t>
      </w:r>
      <w:r w:rsidR="000E4AE2">
        <w:rPr>
          <w:rStyle w:val="Emfaz"/>
          <w:i w:val="0"/>
        </w:rPr>
        <w:t>“</w:t>
      </w:r>
      <w:r w:rsidR="000E4AE2" w:rsidRPr="00061E04">
        <w:t>,</w:t>
      </w:r>
      <w:r w:rsidR="000E4AE2" w:rsidRPr="000E4AE2">
        <w:rPr>
          <w:i/>
        </w:rPr>
        <w:t xml:space="preserve"> </w:t>
      </w:r>
      <w:r w:rsidR="000E4AE2" w:rsidRPr="000E4AE2">
        <w:t>o</w:t>
      </w:r>
      <w:r w:rsidR="000E4AE2">
        <w:rPr>
          <w:rStyle w:val="Emfaz"/>
          <w:i w:val="0"/>
        </w:rPr>
        <w:t xml:space="preserve"> iš šio –</w:t>
      </w:r>
      <w:r w:rsidR="000E4AE2" w:rsidRPr="00EF4256">
        <w:t xml:space="preserve"> </w:t>
      </w:r>
      <w:r w:rsidR="000E4AE2">
        <w:t>„</w:t>
      </w:r>
      <w:r w:rsidR="001926D5" w:rsidRPr="000E4AE2">
        <w:rPr>
          <w:rStyle w:val="Emfaz"/>
          <w:i w:val="0"/>
        </w:rPr>
        <w:t>nukreivinti</w:t>
      </w:r>
      <w:r w:rsidR="000E4AE2">
        <w:rPr>
          <w:rStyle w:val="Emfaz"/>
          <w:i w:val="0"/>
        </w:rPr>
        <w:t>“</w:t>
      </w:r>
      <w:r w:rsidR="006F2654">
        <w:rPr>
          <w:rStyle w:val="Emfaz"/>
        </w:rPr>
        <w:t xml:space="preserve">, </w:t>
      </w:r>
      <w:r w:rsidR="000E4AE2">
        <w:rPr>
          <w:rStyle w:val="Emfaz"/>
          <w:i w:val="0"/>
        </w:rPr>
        <w:t>reiškiantis</w:t>
      </w:r>
      <w:r w:rsidR="006F2654">
        <w:rPr>
          <w:rStyle w:val="Emfaz"/>
        </w:rPr>
        <w:t xml:space="preserve"> </w:t>
      </w:r>
      <w:r w:rsidR="00987D49" w:rsidRPr="00987D49">
        <w:rPr>
          <w:rStyle w:val="Emfaz"/>
          <w:i w:val="0"/>
        </w:rPr>
        <w:t>„</w:t>
      </w:r>
      <w:r w:rsidR="00EF4256" w:rsidRPr="00987D49">
        <w:rPr>
          <w:rStyle w:val="Emfaz"/>
          <w:i w:val="0"/>
        </w:rPr>
        <w:t>padaryti kreivą</w:t>
      </w:r>
      <w:r w:rsidR="00987D49">
        <w:rPr>
          <w:rStyle w:val="Emfaz"/>
          <w:i w:val="0"/>
        </w:rPr>
        <w:t>“</w:t>
      </w:r>
      <w:r w:rsidR="00EF4256" w:rsidRPr="00EF4256">
        <w:t xml:space="preserve">. </w:t>
      </w:r>
      <w:r w:rsidR="001926D5" w:rsidRPr="00EF4256">
        <w:t>Taigi</w:t>
      </w:r>
      <w:r w:rsidR="000E4AE2">
        <w:t xml:space="preserve"> sveikos gyvensenos </w:t>
      </w:r>
      <w:r w:rsidR="00061E04">
        <w:t>pr</w:t>
      </w:r>
      <w:r w:rsidR="00F570C5">
        <w:t>o</w:t>
      </w:r>
      <w:r w:rsidR="00061E04">
        <w:t>paguotojams</w:t>
      </w:r>
      <w:r w:rsidR="000E4AE2">
        <w:t xml:space="preserve"> ant pakuotės</w:t>
      </w:r>
      <w:r w:rsidR="00EF4256" w:rsidRPr="00EF4256">
        <w:t xml:space="preserve"> turėtų būti parašyta:</w:t>
      </w:r>
      <w:r w:rsidR="001926D5" w:rsidRPr="00EF4256">
        <w:t xml:space="preserve"> </w:t>
      </w:r>
      <w:r w:rsidR="00EF4256" w:rsidRPr="00EF4256">
        <w:t>migdolų miltai</w:t>
      </w:r>
      <w:r w:rsidR="001926D5" w:rsidRPr="00EF4256">
        <w:rPr>
          <w:rStyle w:val="Grietas"/>
        </w:rPr>
        <w:t xml:space="preserve"> be riebalų</w:t>
      </w:r>
      <w:r w:rsidR="001926D5" w:rsidRPr="00EF4256">
        <w:t xml:space="preserve">, </w:t>
      </w:r>
      <w:r w:rsidR="00EF4256" w:rsidRPr="00EF4256">
        <w:rPr>
          <w:rStyle w:val="Grietas"/>
        </w:rPr>
        <w:t>neriebūs migdolų miltai</w:t>
      </w:r>
      <w:r w:rsidR="00EF4256" w:rsidRPr="00EF4256">
        <w:t xml:space="preserve"> ar</w:t>
      </w:r>
      <w:r w:rsidR="001926D5" w:rsidRPr="00EF4256">
        <w:t xml:space="preserve"> tiesiog </w:t>
      </w:r>
      <w:r w:rsidR="00EF4256" w:rsidRPr="00EF4256">
        <w:rPr>
          <w:rStyle w:val="Grietas"/>
        </w:rPr>
        <w:t>liesi migdolų miltai</w:t>
      </w:r>
      <w:r w:rsidR="001926D5" w:rsidRPr="00EF4256">
        <w:t>.</w:t>
      </w:r>
    </w:p>
    <w:p w14:paraId="5F599204" w14:textId="77777777" w:rsidR="0059002F" w:rsidRDefault="0059002F" w:rsidP="00EF4256">
      <w:pPr>
        <w:pStyle w:val="prastasiniatinklio"/>
        <w:spacing w:line="360" w:lineRule="auto"/>
        <w:jc w:val="both"/>
      </w:pPr>
      <w:r>
        <w:t xml:space="preserve">Tenka išgirsti ir kitų netaisyklingų priešdėlio nu- vedinių, pavyzdžiui, </w:t>
      </w:r>
      <w:r w:rsidRPr="0059002F">
        <w:rPr>
          <w:i/>
        </w:rPr>
        <w:t>nuorinti</w:t>
      </w:r>
      <w:r>
        <w:t xml:space="preserve">, </w:t>
      </w:r>
      <w:r w:rsidRPr="0059002F">
        <w:rPr>
          <w:i/>
        </w:rPr>
        <w:t>nukalkinti</w:t>
      </w:r>
      <w:r>
        <w:t xml:space="preserve">, </w:t>
      </w:r>
      <w:r w:rsidRPr="0059002F">
        <w:rPr>
          <w:i/>
        </w:rPr>
        <w:t>nudruskinti</w:t>
      </w:r>
      <w:r>
        <w:t xml:space="preserve">, </w:t>
      </w:r>
      <w:r w:rsidRPr="0059002F">
        <w:rPr>
          <w:i/>
        </w:rPr>
        <w:t>nusierinti</w:t>
      </w:r>
      <w:r>
        <w:t xml:space="preserve">, </w:t>
      </w:r>
      <w:r w:rsidRPr="0059002F">
        <w:rPr>
          <w:i/>
        </w:rPr>
        <w:t>nuskausminti</w:t>
      </w:r>
      <w:r w:rsidR="00987D49">
        <w:rPr>
          <w:i/>
        </w:rPr>
        <w:t>, nukenksminti</w:t>
      </w:r>
      <w:r>
        <w:t>. Jais visais norima pasakyti</w:t>
      </w:r>
      <w:r w:rsidR="00987D49">
        <w:t>, kad šalinami</w:t>
      </w:r>
      <w:r w:rsidRPr="00215BD8">
        <w:t xml:space="preserve"> pa</w:t>
      </w:r>
      <w:r w:rsidR="00987D49">
        <w:t xml:space="preserve">matiniu žodžiu įvardyti dalykai: </w:t>
      </w:r>
      <w:r w:rsidR="00061E04">
        <w:t xml:space="preserve">jau minėti riebalai, </w:t>
      </w:r>
      <w:r w:rsidR="00987D49">
        <w:t xml:space="preserve">oras, kalkės, druska, </w:t>
      </w:r>
      <w:r w:rsidR="00061E04">
        <w:t>siera, skausmas</w:t>
      </w:r>
      <w:r w:rsidR="00987D49">
        <w:t xml:space="preserve"> ar kenksmingumas</w:t>
      </w:r>
      <w:r w:rsidRPr="00215BD8">
        <w:t xml:space="preserve">. </w:t>
      </w:r>
      <w:r>
        <w:t xml:space="preserve">Tačiau </w:t>
      </w:r>
      <w:r w:rsidR="00987D49">
        <w:t xml:space="preserve">juk </w:t>
      </w:r>
      <w:r w:rsidR="006F2654">
        <w:t xml:space="preserve">kalbėdami apie plaukų kirpimą </w:t>
      </w:r>
      <w:r>
        <w:t xml:space="preserve">nesakome </w:t>
      </w:r>
      <w:r w:rsidR="006F2654">
        <w:rPr>
          <w:i/>
        </w:rPr>
        <w:t>nuplaukinti</w:t>
      </w:r>
      <w:r w:rsidR="006F2654" w:rsidRPr="006F2654">
        <w:t>, o</w:t>
      </w:r>
      <w:r w:rsidR="006F2654">
        <w:rPr>
          <w:i/>
        </w:rPr>
        <w:t xml:space="preserve"> </w:t>
      </w:r>
      <w:r w:rsidR="006F2654" w:rsidRPr="006F2654">
        <w:t>vietoj</w:t>
      </w:r>
      <w:r w:rsidR="006F2654">
        <w:rPr>
          <w:i/>
        </w:rPr>
        <w:t xml:space="preserve"> </w:t>
      </w:r>
      <w:r w:rsidR="006F2654">
        <w:t xml:space="preserve">nuvalyti purvą – </w:t>
      </w:r>
      <w:r w:rsidR="006F2654" w:rsidRPr="006F2654">
        <w:rPr>
          <w:i/>
        </w:rPr>
        <w:t>nupurvinti</w:t>
      </w:r>
      <w:r w:rsidR="006F2654">
        <w:t>. Lygiai tokia pat nesąmonė</w:t>
      </w:r>
      <w:r w:rsidRPr="00215BD8">
        <w:t xml:space="preserve"> yra </w:t>
      </w:r>
      <w:r w:rsidR="006F2654" w:rsidRPr="006F2654">
        <w:rPr>
          <w:i/>
        </w:rPr>
        <w:t>nuorinti</w:t>
      </w:r>
      <w:r w:rsidR="006F2654">
        <w:t xml:space="preserve"> ar </w:t>
      </w:r>
      <w:r w:rsidRPr="00215BD8">
        <w:rPr>
          <w:rStyle w:val="Emfaz"/>
        </w:rPr>
        <w:t>n</w:t>
      </w:r>
      <w:r w:rsidR="006F2654">
        <w:rPr>
          <w:rStyle w:val="Emfaz"/>
        </w:rPr>
        <w:t>ukalkinti</w:t>
      </w:r>
      <w:r w:rsidRPr="00215BD8">
        <w:t>.</w:t>
      </w:r>
    </w:p>
    <w:p w14:paraId="0A4388FC" w14:textId="77777777" w:rsidR="006F2654" w:rsidRDefault="006F2654" w:rsidP="00EF4256">
      <w:pPr>
        <w:pStyle w:val="prastasiniatinklio"/>
        <w:spacing w:line="360" w:lineRule="auto"/>
        <w:jc w:val="both"/>
      </w:pPr>
      <w:r>
        <w:t xml:space="preserve">Taigi ne </w:t>
      </w:r>
      <w:r w:rsidRPr="00987D49">
        <w:rPr>
          <w:i/>
        </w:rPr>
        <w:t xml:space="preserve">nuorinti </w:t>
      </w:r>
      <w:r w:rsidR="00061E04">
        <w:t>radiatorių</w:t>
      </w:r>
      <w:r>
        <w:t xml:space="preserve">, o </w:t>
      </w:r>
      <w:r w:rsidR="00061E04">
        <w:rPr>
          <w:b/>
        </w:rPr>
        <w:t>iš radiatoriaus</w:t>
      </w:r>
      <w:r w:rsidR="00C90FC4" w:rsidRPr="00987D49">
        <w:rPr>
          <w:b/>
        </w:rPr>
        <w:t xml:space="preserve"> </w:t>
      </w:r>
      <w:r w:rsidRPr="00987D49">
        <w:rPr>
          <w:b/>
        </w:rPr>
        <w:t>išleisti orą</w:t>
      </w:r>
      <w:r>
        <w:t>;</w:t>
      </w:r>
    </w:p>
    <w:p w14:paraId="5BEAE3BE" w14:textId="77777777" w:rsidR="00C90FC4" w:rsidRPr="00987D49" w:rsidRDefault="00C90FC4" w:rsidP="00EF4256">
      <w:pPr>
        <w:pStyle w:val="prastasiniatinklio"/>
        <w:spacing w:line="360" w:lineRule="auto"/>
        <w:jc w:val="both"/>
      </w:pPr>
      <w:r w:rsidRPr="00987D49">
        <w:t xml:space="preserve">Ne Hidrinimo įrenginiai, specialiai sukurti </w:t>
      </w:r>
      <w:r w:rsidRPr="00987D49">
        <w:rPr>
          <w:bCs/>
        </w:rPr>
        <w:t xml:space="preserve">benzinui, dyzelinui ir žibalui </w:t>
      </w:r>
      <w:r w:rsidRPr="00987D49">
        <w:rPr>
          <w:bCs/>
          <w:i/>
        </w:rPr>
        <w:t>nusierinti</w:t>
      </w:r>
      <w:r w:rsidRPr="00987D49">
        <w:rPr>
          <w:bCs/>
        </w:rPr>
        <w:t>, o</w:t>
      </w:r>
      <w:r w:rsidRPr="00987D49">
        <w:rPr>
          <w:b/>
          <w:bCs/>
        </w:rPr>
        <w:t xml:space="preserve"> </w:t>
      </w:r>
      <w:r w:rsidRPr="00987D49">
        <w:rPr>
          <w:b/>
        </w:rPr>
        <w:t>sierai iš benzino, dyzelino ir žibalo pašalinti</w:t>
      </w:r>
      <w:r w:rsidRPr="00987D49">
        <w:t>;</w:t>
      </w:r>
    </w:p>
    <w:p w14:paraId="5D2FD2B4" w14:textId="77777777" w:rsidR="006F2654" w:rsidRDefault="006F2654" w:rsidP="00EF4256">
      <w:pPr>
        <w:pStyle w:val="prastasiniatinklio"/>
        <w:spacing w:line="360" w:lineRule="auto"/>
        <w:jc w:val="both"/>
      </w:pPr>
      <w:r>
        <w:t xml:space="preserve">ne </w:t>
      </w:r>
      <w:r w:rsidRPr="00987D49">
        <w:rPr>
          <w:i/>
        </w:rPr>
        <w:t xml:space="preserve">nukalkinti, </w:t>
      </w:r>
      <w:r w:rsidR="00C90FC4" w:rsidRPr="00987D49">
        <w:rPr>
          <w:i/>
        </w:rPr>
        <w:t>nudruskinti</w:t>
      </w:r>
      <w:r w:rsidR="00C90FC4">
        <w:t xml:space="preserve">, o </w:t>
      </w:r>
      <w:r w:rsidR="00987D49">
        <w:t>išvalyti</w:t>
      </w:r>
      <w:r>
        <w:t xml:space="preserve"> </w:t>
      </w:r>
      <w:r w:rsidR="00987D49">
        <w:t>kalkes,</w:t>
      </w:r>
      <w:r w:rsidR="00C90FC4">
        <w:t xml:space="preserve"> druską; </w:t>
      </w:r>
    </w:p>
    <w:p w14:paraId="0EB325B3" w14:textId="77777777" w:rsidR="00C90FC4" w:rsidRDefault="00C90FC4" w:rsidP="00EF4256">
      <w:pPr>
        <w:pStyle w:val="prastasiniatinklio"/>
        <w:spacing w:line="360" w:lineRule="auto"/>
        <w:jc w:val="both"/>
      </w:pPr>
      <w:r>
        <w:t xml:space="preserve">ne </w:t>
      </w:r>
      <w:r w:rsidRPr="00987D49">
        <w:rPr>
          <w:i/>
        </w:rPr>
        <w:t>nukenksminti</w:t>
      </w:r>
      <w:r>
        <w:t xml:space="preserve">, o </w:t>
      </w:r>
      <w:r w:rsidRPr="00987D49">
        <w:rPr>
          <w:rFonts w:ascii="0Arial ;" w:hAnsi="0Arial ;"/>
          <w:b/>
        </w:rPr>
        <w:t>padaryti nekenksmingą, neveiksmingą, pašalinti kenksmingumą</w:t>
      </w:r>
      <w:r>
        <w:rPr>
          <w:rFonts w:ascii="0Arial ;" w:hAnsi="0Arial ;"/>
        </w:rPr>
        <w:t>;</w:t>
      </w:r>
    </w:p>
    <w:p w14:paraId="09BA037F" w14:textId="77777777" w:rsidR="00C90FC4" w:rsidRDefault="00C90FC4" w:rsidP="00C90FC4">
      <w:pPr>
        <w:pStyle w:val="prastasiniatinklio"/>
        <w:spacing w:line="360" w:lineRule="auto"/>
        <w:jc w:val="both"/>
      </w:pPr>
      <w:r>
        <w:t xml:space="preserve">ne </w:t>
      </w:r>
      <w:r w:rsidRPr="00987D49">
        <w:rPr>
          <w:i/>
        </w:rPr>
        <w:t>nuskausminti</w:t>
      </w:r>
      <w:r>
        <w:t xml:space="preserve">, o </w:t>
      </w:r>
      <w:r w:rsidRPr="00987D49">
        <w:rPr>
          <w:b/>
        </w:rPr>
        <w:t>malšinti, mažinti skausmą</w:t>
      </w:r>
      <w:r>
        <w:t xml:space="preserve">. Todėl ir ne </w:t>
      </w:r>
      <w:r w:rsidRPr="00987D49">
        <w:rPr>
          <w:i/>
        </w:rPr>
        <w:t>nuskausminamieji vaistai</w:t>
      </w:r>
      <w:r>
        <w:t xml:space="preserve">, o </w:t>
      </w:r>
      <w:r>
        <w:rPr>
          <w:rStyle w:val="Grietas"/>
        </w:rPr>
        <w:t>vaistai nuo skausmo</w:t>
      </w:r>
      <w:r>
        <w:t xml:space="preserve">, </w:t>
      </w:r>
      <w:r>
        <w:rPr>
          <w:rStyle w:val="Grietas"/>
        </w:rPr>
        <w:t>skausmą malšinantys</w:t>
      </w:r>
      <w:r>
        <w:t xml:space="preserve">, </w:t>
      </w:r>
      <w:r>
        <w:rPr>
          <w:rStyle w:val="Grietas"/>
        </w:rPr>
        <w:t>mažinantys vaistai</w:t>
      </w:r>
      <w:r>
        <w:t>.</w:t>
      </w:r>
    </w:p>
    <w:p w14:paraId="0584A863" w14:textId="77777777" w:rsidR="00EE1883" w:rsidRPr="00EE1883" w:rsidRDefault="00EE1883" w:rsidP="00EE1883">
      <w:pPr>
        <w:pStyle w:val="Antrat2"/>
        <w:spacing w:line="360" w:lineRule="auto"/>
        <w:rPr>
          <w:rStyle w:val="Emfaz"/>
          <w:sz w:val="24"/>
          <w:szCs w:val="24"/>
        </w:rPr>
      </w:pPr>
      <w:r w:rsidRPr="00EE1883">
        <w:rPr>
          <w:rStyle w:val="Emfaz"/>
          <w:sz w:val="24"/>
          <w:szCs w:val="24"/>
        </w:rPr>
        <w:t>Parengta pagal VLKK Konsultacijų banką</w:t>
      </w:r>
    </w:p>
    <w:p w14:paraId="359DE5C6" w14:textId="77777777" w:rsidR="00EE1883" w:rsidRDefault="00EE1883" w:rsidP="00C90FC4">
      <w:pPr>
        <w:pStyle w:val="prastasiniatinklio"/>
        <w:spacing w:line="360" w:lineRule="auto"/>
        <w:jc w:val="both"/>
      </w:pPr>
    </w:p>
    <w:p w14:paraId="5ED34CAA" w14:textId="77777777" w:rsidR="00987D49" w:rsidRDefault="00987D49" w:rsidP="00C90FC4">
      <w:pPr>
        <w:pStyle w:val="prastasiniatinklio"/>
        <w:spacing w:line="360" w:lineRule="auto"/>
        <w:jc w:val="both"/>
      </w:pPr>
    </w:p>
    <w:p w14:paraId="6B30F98F" w14:textId="77777777" w:rsidR="00987D49" w:rsidRDefault="00987D49" w:rsidP="00C90FC4">
      <w:pPr>
        <w:pStyle w:val="prastasiniatinklio"/>
        <w:spacing w:line="360" w:lineRule="auto"/>
        <w:jc w:val="both"/>
      </w:pPr>
    </w:p>
    <w:p w14:paraId="50E2E10E" w14:textId="77777777" w:rsidR="00C90FC4" w:rsidRDefault="00C90FC4" w:rsidP="00C90FC4">
      <w:pPr>
        <w:pStyle w:val="prastasiniatinklio"/>
        <w:jc w:val="both"/>
      </w:pPr>
      <w:r>
        <w:t xml:space="preserve">     </w:t>
      </w:r>
    </w:p>
    <w:p w14:paraId="2AE0A48A" w14:textId="77777777" w:rsidR="00215BD8" w:rsidRPr="00215BD8" w:rsidRDefault="00215BD8" w:rsidP="00987D49">
      <w:pPr>
        <w:pStyle w:val="prastasiniatinklio"/>
        <w:jc w:val="both"/>
      </w:pPr>
    </w:p>
    <w:sectPr w:rsidR="00215BD8" w:rsidRPr="00215B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Arial 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D8"/>
    <w:rsid w:val="00061E04"/>
    <w:rsid w:val="000E4AE2"/>
    <w:rsid w:val="001926D5"/>
    <w:rsid w:val="00215BD8"/>
    <w:rsid w:val="0059002F"/>
    <w:rsid w:val="006D0B90"/>
    <w:rsid w:val="006F2654"/>
    <w:rsid w:val="00987D49"/>
    <w:rsid w:val="009E1F41"/>
    <w:rsid w:val="00A63F6F"/>
    <w:rsid w:val="00AE5A09"/>
    <w:rsid w:val="00BD200F"/>
    <w:rsid w:val="00C90FC4"/>
    <w:rsid w:val="00EE1883"/>
    <w:rsid w:val="00EF4256"/>
    <w:rsid w:val="00F570C5"/>
    <w:rsid w:val="00F9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C793"/>
  <w15:docId w15:val="{141D0A5F-C710-4DC3-9C75-4A03EC10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215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215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15BD8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15BD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215BD8"/>
    <w:rPr>
      <w:b/>
      <w:bCs/>
    </w:rPr>
  </w:style>
  <w:style w:type="character" w:styleId="Emfaz">
    <w:name w:val="Emphasis"/>
    <w:basedOn w:val="Numatytasispastraiposriftas"/>
    <w:uiPriority w:val="20"/>
    <w:qFormat/>
    <w:rsid w:val="00215BD8"/>
    <w:rPr>
      <w:i/>
      <w:iCs/>
    </w:rPr>
  </w:style>
  <w:style w:type="paragraph" w:styleId="prastasiniatinklio">
    <w:name w:val="Normal (Web)"/>
    <w:basedOn w:val="prastasis"/>
    <w:uiPriority w:val="99"/>
    <w:unhideWhenUsed/>
    <w:rsid w:val="0021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">
    <w:name w:val="st"/>
    <w:basedOn w:val="Numatytasispastraiposriftas"/>
    <w:rsid w:val="00215BD8"/>
  </w:style>
  <w:style w:type="paragraph" w:customStyle="1" w:styleId="Default">
    <w:name w:val="Default"/>
    <w:rsid w:val="00A63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AE5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Bertulienė</dc:creator>
  <cp:lastModifiedBy>Sigita Bertulienė</cp:lastModifiedBy>
  <cp:revision>3</cp:revision>
  <dcterms:created xsi:type="dcterms:W3CDTF">2022-01-07T08:01:00Z</dcterms:created>
  <dcterms:modified xsi:type="dcterms:W3CDTF">2022-01-07T08:03:00Z</dcterms:modified>
</cp:coreProperties>
</file>