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9F73" w14:textId="77777777" w:rsidR="006774EA" w:rsidRDefault="006774EA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1"/>
        <w:gridCol w:w="3845"/>
      </w:tblGrid>
      <w:tr w:rsidR="006774EA" w14:paraId="12869F7A" w14:textId="77777777">
        <w:trPr>
          <w:cantSplit/>
          <w:tblHeader/>
        </w:trPr>
        <w:tc>
          <w:tcPr>
            <w:tcW w:w="57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F74" w14:textId="77777777" w:rsidR="006774EA" w:rsidRDefault="00D20460">
            <w:pPr>
              <w:widowControl w:val="0"/>
              <w:suppressLineNumbers/>
              <w:spacing w:after="120"/>
              <w:ind w:left="360"/>
            </w:pPr>
            <w:r>
              <w:rPr>
                <w:rFonts w:eastAsia="Lucida Sans Unicode" w:cs="Tahoma"/>
                <w:sz w:val="22"/>
                <w:szCs w:val="22"/>
              </w:rPr>
              <w:t xml:space="preserve"> </w:t>
            </w:r>
          </w:p>
        </w:tc>
        <w:tc>
          <w:tcPr>
            <w:tcW w:w="38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F75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PATVIRTINTA:</w:t>
            </w:r>
          </w:p>
          <w:p w14:paraId="12869F76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m. savivaldybės </w:t>
            </w:r>
          </w:p>
          <w:p w14:paraId="12869F77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direktoriaus pavaduotojas</w:t>
            </w:r>
          </w:p>
          <w:p w14:paraId="12869F78" w14:textId="0E0F34AB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F3B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m. ____________________d.</w:t>
            </w:r>
          </w:p>
          <w:p w14:paraId="12869F79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įsakymu Nr. </w:t>
            </w:r>
          </w:p>
        </w:tc>
      </w:tr>
    </w:tbl>
    <w:p w14:paraId="12869F7B" w14:textId="77777777" w:rsidR="006774EA" w:rsidRDefault="006774EA">
      <w:pPr>
        <w:jc w:val="center"/>
        <w:rPr>
          <w:sz w:val="22"/>
          <w:szCs w:val="22"/>
        </w:rPr>
      </w:pPr>
    </w:p>
    <w:p w14:paraId="12869F7C" w14:textId="77777777" w:rsidR="006774EA" w:rsidRDefault="00D20460">
      <w:pPr>
        <w:jc w:val="center"/>
        <w:rPr>
          <w:b/>
          <w:caps/>
          <w:sz w:val="22"/>
          <w:szCs w:val="22"/>
          <w:lang w:val="pl-PL"/>
        </w:rPr>
      </w:pPr>
      <w:r>
        <w:rPr>
          <w:b/>
          <w:caps/>
          <w:sz w:val="22"/>
          <w:szCs w:val="22"/>
          <w:lang w:val="pl-PL"/>
        </w:rPr>
        <w:t xml:space="preserve">Planavimo darbų programa </w:t>
      </w:r>
    </w:p>
    <w:p w14:paraId="12869F7D" w14:textId="77777777" w:rsidR="006774EA" w:rsidRDefault="00D20460">
      <w:pPr>
        <w:jc w:val="center"/>
      </w:pPr>
      <w:r>
        <w:rPr>
          <w:b/>
          <w:bCs/>
          <w:caps/>
          <w:sz w:val="22"/>
          <w:szCs w:val="22"/>
        </w:rPr>
        <w:t>detali</w:t>
      </w:r>
      <w:r>
        <w:rPr>
          <w:b/>
          <w:bCs/>
          <w:sz w:val="22"/>
          <w:szCs w:val="22"/>
        </w:rPr>
        <w:t>OJO</w:t>
      </w:r>
      <w:r>
        <w:rPr>
          <w:b/>
          <w:bCs/>
          <w:caps/>
          <w:sz w:val="22"/>
          <w:szCs w:val="22"/>
        </w:rPr>
        <w:t xml:space="preserve"> planavimo </w:t>
      </w:r>
      <w:r>
        <w:rPr>
          <w:b/>
          <w:bCs/>
          <w:sz w:val="22"/>
          <w:szCs w:val="22"/>
        </w:rPr>
        <w:t>DOKUMENTUI RENGTI</w:t>
      </w:r>
    </w:p>
    <w:p w14:paraId="12869F7E" w14:textId="3C9B8514" w:rsidR="006774EA" w:rsidRDefault="006774EA">
      <w:pPr>
        <w:jc w:val="center"/>
        <w:rPr>
          <w:sz w:val="22"/>
          <w:szCs w:val="22"/>
        </w:rPr>
      </w:pPr>
    </w:p>
    <w:p w14:paraId="354D21CA" w14:textId="77777777" w:rsidR="003E48A6" w:rsidRDefault="003E48A6">
      <w:pPr>
        <w:jc w:val="center"/>
        <w:rPr>
          <w:sz w:val="22"/>
          <w:szCs w:val="22"/>
        </w:rPr>
      </w:pPr>
    </w:p>
    <w:p w14:paraId="4FA3E8DC" w14:textId="30FB0EB8" w:rsidR="00047A1C" w:rsidRPr="000877BD" w:rsidRDefault="00D20460" w:rsidP="003E48A6">
      <w:pPr>
        <w:suppressAutoHyphens w:val="0"/>
        <w:spacing w:line="276" w:lineRule="auto"/>
        <w:rPr>
          <w:bCs/>
          <w:lang w:eastAsia="lt-LT"/>
        </w:rPr>
      </w:pPr>
      <w:r w:rsidRPr="00676AA4">
        <w:rPr>
          <w:b/>
        </w:rPr>
        <w:t xml:space="preserve">1. Planuojamos teritorijos adresas: </w:t>
      </w:r>
      <w:r w:rsidR="00B019C9" w:rsidRPr="000877BD">
        <w:rPr>
          <w:bCs/>
        </w:rPr>
        <w:t xml:space="preserve">Teritorija tarp </w:t>
      </w:r>
      <w:r w:rsidR="000877BD" w:rsidRPr="000877BD">
        <w:rPr>
          <w:bCs/>
        </w:rPr>
        <w:t xml:space="preserve">Balsių ir Romuvos gatvių, Vilnius. </w:t>
      </w:r>
    </w:p>
    <w:p w14:paraId="12869F80" w14:textId="68AD8069" w:rsidR="006774EA" w:rsidRPr="00676AA4" w:rsidRDefault="00D20460" w:rsidP="003E48A6">
      <w:pPr>
        <w:spacing w:line="276" w:lineRule="auto"/>
        <w:jc w:val="both"/>
      </w:pPr>
      <w:r w:rsidRPr="00676AA4">
        <w:rPr>
          <w:b/>
        </w:rPr>
        <w:t>2. Planuojamos teritorijos plotas</w:t>
      </w:r>
      <w:r w:rsidRPr="002158F7">
        <w:rPr>
          <w:b/>
        </w:rPr>
        <w:t xml:space="preserve">: </w:t>
      </w:r>
      <w:r w:rsidR="000877BD">
        <w:rPr>
          <w:bCs/>
        </w:rPr>
        <w:t>apie 1,5</w:t>
      </w:r>
      <w:r w:rsidR="002158F7">
        <w:t xml:space="preserve"> ha.</w:t>
      </w:r>
    </w:p>
    <w:p w14:paraId="12869F81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</w:rPr>
        <w:t xml:space="preserve">3. Planavimo organizatorius: </w:t>
      </w:r>
      <w:r w:rsidRPr="00676AA4">
        <w:rPr>
          <w:bCs/>
        </w:rPr>
        <w:t>Vilniaus miesto savivaldybės administracijos direktorius, Konstitucijos pr. 3,</w:t>
      </w:r>
      <w:r w:rsidRPr="00676AA4">
        <w:t xml:space="preserve"> Vilnius.</w:t>
      </w:r>
    </w:p>
    <w:p w14:paraId="0DF9C5A8" w14:textId="77777777" w:rsidR="00E579F3" w:rsidRPr="00C94D5B" w:rsidRDefault="00D20460" w:rsidP="003E48A6">
      <w:pPr>
        <w:spacing w:line="276" w:lineRule="auto"/>
        <w:jc w:val="both"/>
      </w:pPr>
      <w:r w:rsidRPr="00676AA4">
        <w:rPr>
          <w:b/>
        </w:rPr>
        <w:t xml:space="preserve">4. Planavimo pagrindas: </w:t>
      </w:r>
      <w:r w:rsidRPr="00C94D5B">
        <w:t>žemės sklyp</w:t>
      </w:r>
      <w:r w:rsidR="00F30D89" w:rsidRPr="00C94D5B">
        <w:t>ų</w:t>
      </w:r>
      <w:r w:rsidRPr="00C94D5B">
        <w:t xml:space="preserve"> savininkų prašymas.</w:t>
      </w:r>
      <w:r w:rsidRPr="00C94D5B">
        <w:rPr>
          <w:b/>
        </w:rPr>
        <w:t xml:space="preserve"> </w:t>
      </w:r>
    </w:p>
    <w:p w14:paraId="4C0722F6" w14:textId="4875BE41" w:rsidR="00A803BE" w:rsidRPr="002B795C" w:rsidRDefault="00D20460" w:rsidP="003E48A6">
      <w:pPr>
        <w:spacing w:line="276" w:lineRule="auto"/>
        <w:jc w:val="both"/>
      </w:pPr>
      <w:r w:rsidRPr="00676AA4">
        <w:rPr>
          <w:b/>
        </w:rPr>
        <w:t xml:space="preserve">5. Planavimo uždaviniai: </w:t>
      </w:r>
      <w:bookmarkStart w:id="0" w:name="_Hlk25153497"/>
      <w:bookmarkStart w:id="1" w:name="_Hlk532974041"/>
      <w:bookmarkStart w:id="2" w:name="_Hlk51152482"/>
      <w:r w:rsidR="00D105CB">
        <w:t xml:space="preserve">keisti </w:t>
      </w:r>
      <w:bookmarkStart w:id="3" w:name="_Hlk535304928"/>
      <w:r w:rsidR="00D105CB">
        <w:t xml:space="preserve">Individualių gyvenamųjų namų mikrorajono prie Turistų gatvės </w:t>
      </w:r>
      <w:r w:rsidR="00D105CB" w:rsidRPr="001E4C23">
        <w:t>detaliojo plano</w:t>
      </w:r>
      <w:r w:rsidR="00D105CB">
        <w:t xml:space="preserve"> </w:t>
      </w:r>
      <w:bookmarkEnd w:id="3"/>
      <w:r w:rsidR="00D105CB">
        <w:t xml:space="preserve">(registro Nr. T00056345), patvirtinto Vilniaus miesto savivaldybės tarybos 2004 m. birželio 23 d. sprendimu Nr. 1-450 ,,Dėl Valdybos 1997-06-19 sprendimo Nr. 1115V ,,Dėl galiojančių teritorijų planavimo dokumentų (projektų) sąrašo tvirtinimo“ papildymo“, sprendinius apie 1,5 ha teritorijoje inicijavimo sutarties pagrindu: prie nuosavybės teise valdomų žemės sklypų Balsių g. 5 (kadastro Nr. 0101/0131:584), Balsių g. 7 (kadastro Nr. 0101/0131:450), Balsių g. 9 (kadastro Nr. 0101/0131:322), Romuvos g. 47 (kadastro Nr. 0101/0131:349), Romuvos g. 49 (kadastro Nr. 0101/0131:382) ir Romuvos g. 51 (kadastro Nr. 0101/0131:383) prijungti laisvos valstybinės žemės dalį iki gatvės raudonųjų linijų, iš bendrąja daline nuosavybe valdomo žemės sklypo, kurio kadastro Nr. 0101/0131:795, atskirti sklypų Balsių g. 5 (kadastro Nr. 0101/0131:584) ir Romuvos g. 49 (kadastro Nr. 0101/0131:382) savininkams nuosavybės teise priklausančias žemės sklypo dalis ir prijungti prie žemės sklypų Balsių g. 5 ir Romuvos g. 49, pakeisti žemės sklypų ribas ir plotus </w:t>
      </w:r>
      <w:r w:rsidR="00D105CB" w:rsidRPr="00831F5F">
        <w:t xml:space="preserve">bei nustatyti </w:t>
      </w:r>
      <w:r w:rsidR="00D105CB" w:rsidRPr="00831F5F">
        <w:rPr>
          <w:lang w:eastAsia="lt-LT"/>
        </w:rPr>
        <w:t>teritorijos naudojimo reglamentus vadovaujantis Vilniaus miesto savivaldybės teritorijos bendruoju planu</w:t>
      </w:r>
      <w:r w:rsidR="00472A23">
        <w:rPr>
          <w:lang w:eastAsia="lt-LT"/>
        </w:rPr>
        <w:t>.</w:t>
      </w:r>
      <w:r w:rsidR="00D105CB" w:rsidRPr="00831F5F">
        <w:t xml:space="preserve"> </w:t>
      </w:r>
    </w:p>
    <w:bookmarkEnd w:id="0"/>
    <w:bookmarkEnd w:id="1"/>
    <w:bookmarkEnd w:id="2"/>
    <w:p w14:paraId="12869F84" w14:textId="01FCF07C" w:rsidR="006774EA" w:rsidRPr="00676AA4" w:rsidRDefault="00D20460" w:rsidP="003E48A6">
      <w:pPr>
        <w:spacing w:line="276" w:lineRule="auto"/>
        <w:jc w:val="both"/>
      </w:pPr>
      <w:r w:rsidRPr="00676AA4">
        <w:rPr>
          <w:b/>
        </w:rPr>
        <w:t xml:space="preserve">6. Papildomi planavimo uždaviniai: </w:t>
      </w:r>
      <w:r w:rsidRPr="00676AA4">
        <w:t>numatyti funkcinius bei kompozicinius ryšius su gretimomis teritorijomis</w:t>
      </w:r>
      <w:r w:rsidR="00AD6756" w:rsidRPr="00676AA4">
        <w:t>.</w:t>
      </w:r>
      <w:r w:rsidR="00360CA1" w:rsidRPr="00676AA4">
        <w:t xml:space="preserve"> </w:t>
      </w:r>
    </w:p>
    <w:p w14:paraId="12869F85" w14:textId="38A4169B" w:rsidR="006774EA" w:rsidRPr="00676AA4" w:rsidRDefault="00D20460" w:rsidP="003E48A6">
      <w:pPr>
        <w:spacing w:line="276" w:lineRule="auto"/>
        <w:jc w:val="both"/>
        <w:rPr>
          <w:lang w:val="en-US"/>
        </w:rPr>
      </w:pPr>
      <w:r w:rsidRPr="00676AA4">
        <w:rPr>
          <w:b/>
        </w:rPr>
        <w:t xml:space="preserve">7. Papildomi reglamentai: </w:t>
      </w:r>
      <w:r w:rsidRPr="00676AA4">
        <w:t>teritorijos tūrinės ir erdvinės kompozicijos reikalavimai</w:t>
      </w:r>
      <w:r w:rsidR="001812E5" w:rsidRPr="00676AA4">
        <w:t xml:space="preserve">, susisiekimo komunikacijų išdėstymas, </w:t>
      </w:r>
      <w:r w:rsidR="00DE737C">
        <w:t xml:space="preserve">automobilių stovėjimo vietų išdėstymas, </w:t>
      </w:r>
      <w:r w:rsidR="00D14D28" w:rsidRPr="00676AA4">
        <w:t>atliekų surinkimo konteinerių aikštelių išdėstymas</w:t>
      </w:r>
      <w:r w:rsidR="00FE2323" w:rsidRPr="00676AA4">
        <w:t>.</w:t>
      </w:r>
    </w:p>
    <w:p w14:paraId="12869F86" w14:textId="47486333" w:rsidR="006774EA" w:rsidRPr="00676AA4" w:rsidRDefault="00D20460" w:rsidP="003E48A6">
      <w:pPr>
        <w:spacing w:line="276" w:lineRule="auto"/>
        <w:jc w:val="both"/>
      </w:pPr>
      <w:r w:rsidRPr="00676AA4">
        <w:rPr>
          <w:b/>
        </w:rPr>
        <w:t>8. Tyrimai ir galimybių studijos:</w:t>
      </w:r>
      <w:r w:rsidRPr="00676AA4">
        <w:t xml:space="preserve"> nereikalingos.</w:t>
      </w:r>
    </w:p>
    <w:p w14:paraId="12869F87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bCs/>
        </w:rPr>
        <w:t xml:space="preserve">9. SPAV reikalingumas: </w:t>
      </w:r>
      <w:r w:rsidRPr="00676AA4">
        <w:rPr>
          <w:bCs/>
        </w:rPr>
        <w:t>neprivalomas.</w:t>
      </w:r>
    </w:p>
    <w:p w14:paraId="12869F88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bCs/>
        </w:rPr>
        <w:t>10. Atviras konkursas geriausiai urbanistinei idėjai atrinkti:</w:t>
      </w:r>
      <w:r w:rsidRPr="00676AA4">
        <w:rPr>
          <w:bCs/>
        </w:rPr>
        <w:t xml:space="preserve"> nereikalingas. </w:t>
      </w:r>
    </w:p>
    <w:p w14:paraId="12869F89" w14:textId="2DD10799" w:rsidR="006774EA" w:rsidRPr="00676AA4" w:rsidRDefault="00D20460" w:rsidP="003E48A6">
      <w:pPr>
        <w:spacing w:line="276" w:lineRule="auto"/>
        <w:jc w:val="both"/>
      </w:pPr>
      <w:r w:rsidRPr="00676AA4">
        <w:rPr>
          <w:b/>
          <w:lang w:eastAsia="lt-LT"/>
        </w:rPr>
        <w:t>11.</w:t>
      </w:r>
      <w:r w:rsidRPr="00676AA4">
        <w:rPr>
          <w:lang w:eastAsia="lt-LT"/>
        </w:rPr>
        <w:t xml:space="preserve"> </w:t>
      </w:r>
      <w:r w:rsidRPr="00676AA4">
        <w:rPr>
          <w:b/>
          <w:lang w:eastAsia="lt-LT"/>
        </w:rPr>
        <w:t>Detaliojo planavimo k</w:t>
      </w:r>
      <w:r w:rsidR="00B34D56">
        <w:rPr>
          <w:b/>
          <w:lang w:eastAsia="lt-LT"/>
        </w:rPr>
        <w:t>eitimo</w:t>
      </w:r>
      <w:r w:rsidRPr="00676AA4">
        <w:rPr>
          <w:b/>
          <w:lang w:eastAsia="lt-LT"/>
        </w:rPr>
        <w:t xml:space="preserve"> etapai: </w:t>
      </w:r>
      <w:r w:rsidRPr="00676AA4">
        <w:rPr>
          <w:lang w:eastAsia="lt-LT"/>
        </w:rPr>
        <w:t xml:space="preserve">parengiamasis, rengimo ir baigiamasis etapai. </w:t>
      </w:r>
    </w:p>
    <w:p w14:paraId="12869F8A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lang w:eastAsia="lt-LT"/>
        </w:rPr>
        <w:t>12. Koncepcijos rengimas:</w:t>
      </w:r>
      <w:r w:rsidRPr="00676AA4">
        <w:rPr>
          <w:lang w:eastAsia="lt-LT"/>
        </w:rPr>
        <w:t xml:space="preserve"> detaliojo plano koncepcija nerengiama. </w:t>
      </w:r>
    </w:p>
    <w:p w14:paraId="12869F8B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bCs/>
        </w:rPr>
        <w:t xml:space="preserve">13. Sprendinių </w:t>
      </w:r>
      <w:proofErr w:type="spellStart"/>
      <w:r w:rsidRPr="00676AA4">
        <w:rPr>
          <w:b/>
          <w:bCs/>
          <w:lang w:val="en-US" w:eastAsia="lt-LT"/>
        </w:rPr>
        <w:t>nepriklausomas</w:t>
      </w:r>
      <w:proofErr w:type="spellEnd"/>
      <w:r w:rsidRPr="00676AA4">
        <w:rPr>
          <w:b/>
          <w:bCs/>
          <w:lang w:val="en-US" w:eastAsia="lt-LT"/>
        </w:rPr>
        <w:t xml:space="preserve"> </w:t>
      </w:r>
      <w:proofErr w:type="spellStart"/>
      <w:r w:rsidRPr="00676AA4">
        <w:rPr>
          <w:b/>
          <w:bCs/>
          <w:lang w:val="en-US" w:eastAsia="lt-LT"/>
        </w:rPr>
        <w:t>profesinis</w:t>
      </w:r>
      <w:proofErr w:type="spellEnd"/>
      <w:r w:rsidRPr="00676AA4">
        <w:rPr>
          <w:b/>
          <w:bCs/>
          <w:lang w:val="en-US" w:eastAsia="lt-LT"/>
        </w:rPr>
        <w:t xml:space="preserve"> </w:t>
      </w:r>
      <w:proofErr w:type="spellStart"/>
      <w:r w:rsidRPr="00676AA4">
        <w:rPr>
          <w:b/>
          <w:bCs/>
          <w:lang w:val="en-US" w:eastAsia="lt-LT"/>
        </w:rPr>
        <w:t>vertinimas</w:t>
      </w:r>
      <w:proofErr w:type="spellEnd"/>
      <w:r w:rsidRPr="00676AA4">
        <w:rPr>
          <w:b/>
          <w:bCs/>
        </w:rPr>
        <w:t xml:space="preserve">: </w:t>
      </w:r>
      <w:r w:rsidRPr="00676AA4">
        <w:rPr>
          <w:bCs/>
        </w:rPr>
        <w:t>nereikalingas.</w:t>
      </w:r>
      <w:r w:rsidRPr="00676AA4">
        <w:rPr>
          <w:b/>
          <w:bCs/>
        </w:rPr>
        <w:t xml:space="preserve"> </w:t>
      </w:r>
    </w:p>
    <w:p w14:paraId="12869F8C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bCs/>
        </w:rPr>
        <w:t>14.</w:t>
      </w:r>
      <w:r w:rsidRPr="00676AA4">
        <w:rPr>
          <w:bCs/>
        </w:rPr>
        <w:t xml:space="preserve"> </w:t>
      </w:r>
      <w:r w:rsidRPr="00676AA4">
        <w:rPr>
          <w:b/>
          <w:bCs/>
        </w:rPr>
        <w:t xml:space="preserve">Viešumo užtikrinimas: </w:t>
      </w:r>
      <w:r w:rsidRPr="00676AA4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12869F8D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bCs/>
        </w:rPr>
        <w:t>15.</w:t>
      </w:r>
      <w:r w:rsidRPr="00676AA4">
        <w:rPr>
          <w:bCs/>
        </w:rPr>
        <w:t xml:space="preserve"> </w:t>
      </w:r>
      <w:r w:rsidRPr="00676AA4">
        <w:rPr>
          <w:b/>
        </w:rPr>
        <w:t xml:space="preserve">Planavimo terminai: </w:t>
      </w:r>
      <w:r w:rsidRPr="00676AA4">
        <w:t xml:space="preserve">5 metai nuo šios planavimo darbų programos patvirtinimo datos. </w:t>
      </w:r>
    </w:p>
    <w:p w14:paraId="12869F8E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bCs/>
        </w:rPr>
        <w:lastRenderedPageBreak/>
        <w:t xml:space="preserve">16. Derinimo procedūra: </w:t>
      </w:r>
      <w:r w:rsidRPr="00676AA4">
        <w:rPr>
          <w:bCs/>
        </w:rPr>
        <w:t xml:space="preserve">detalųjį planą derinti </w:t>
      </w:r>
      <w:r w:rsidRPr="00676AA4">
        <w:t xml:space="preserve">Lietuvos Respublikos teritorijų planavimo dokumentų rengimo ir teritorijų planavimo proceso valstybinės priežiūros informacinėje sistemoje (TPDRIS). </w:t>
      </w:r>
    </w:p>
    <w:p w14:paraId="12869F91" w14:textId="41D7BBBB" w:rsidR="006774EA" w:rsidRPr="00676AA4" w:rsidRDefault="00D20460" w:rsidP="003E48A6">
      <w:pPr>
        <w:spacing w:line="276" w:lineRule="auto"/>
        <w:jc w:val="both"/>
        <w:rPr>
          <w:bCs/>
          <w:iCs/>
        </w:rPr>
      </w:pPr>
      <w:r w:rsidRPr="00676AA4">
        <w:rPr>
          <w:b/>
          <w:bCs/>
        </w:rPr>
        <w:t xml:space="preserve">17. Kiti reikalavimai: </w:t>
      </w:r>
      <w:r w:rsidRPr="00676AA4">
        <w:rPr>
          <w:bCs/>
          <w:i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0C49C303" w14:textId="745CBDC9" w:rsidR="005D4036" w:rsidRPr="00676AA4" w:rsidRDefault="005D4036" w:rsidP="003E48A6">
      <w:pPr>
        <w:spacing w:line="276" w:lineRule="auto"/>
        <w:jc w:val="both"/>
      </w:pPr>
    </w:p>
    <w:p w14:paraId="24E9ACA6" w14:textId="77777777" w:rsidR="0017152B" w:rsidRPr="00676AA4" w:rsidRDefault="0017152B" w:rsidP="003E48A6">
      <w:pPr>
        <w:spacing w:line="276" w:lineRule="auto"/>
        <w:jc w:val="both"/>
      </w:pPr>
    </w:p>
    <w:p w14:paraId="12869F92" w14:textId="3D091B1F" w:rsidR="006774EA" w:rsidRPr="00676AA4" w:rsidRDefault="00D20460" w:rsidP="003E48A6">
      <w:pPr>
        <w:tabs>
          <w:tab w:val="left" w:pos="7560"/>
        </w:tabs>
        <w:spacing w:line="276" w:lineRule="auto"/>
        <w:jc w:val="both"/>
        <w:rPr>
          <w:iCs/>
        </w:rPr>
      </w:pPr>
      <w:r w:rsidRPr="00676AA4">
        <w:rPr>
          <w:iCs/>
        </w:rPr>
        <w:t>Suderinta: Miesto vyriausiasis architektas                                                                 Mindaugas Pakalnis</w:t>
      </w:r>
    </w:p>
    <w:p w14:paraId="156E3C6A" w14:textId="4110613C" w:rsidR="00A360C2" w:rsidRPr="00676AA4" w:rsidRDefault="00A360C2" w:rsidP="003E48A6">
      <w:pPr>
        <w:tabs>
          <w:tab w:val="left" w:pos="7560"/>
        </w:tabs>
        <w:spacing w:line="276" w:lineRule="auto"/>
        <w:jc w:val="both"/>
        <w:rPr>
          <w:iCs/>
        </w:rPr>
      </w:pPr>
    </w:p>
    <w:p w14:paraId="2C6F1383" w14:textId="3C4C64D4" w:rsidR="00A360C2" w:rsidRPr="00676AA4" w:rsidRDefault="00A360C2" w:rsidP="003E48A6">
      <w:pPr>
        <w:tabs>
          <w:tab w:val="left" w:pos="7560"/>
        </w:tabs>
        <w:spacing w:line="276" w:lineRule="auto"/>
        <w:jc w:val="both"/>
        <w:rPr>
          <w:iCs/>
        </w:rPr>
      </w:pPr>
    </w:p>
    <w:p w14:paraId="59C4E37E" w14:textId="6B160DD5" w:rsidR="00A360C2" w:rsidRDefault="00A360C2" w:rsidP="003E48A6">
      <w:pPr>
        <w:tabs>
          <w:tab w:val="left" w:pos="7560"/>
        </w:tabs>
        <w:spacing w:line="276" w:lineRule="auto"/>
        <w:jc w:val="both"/>
      </w:pPr>
    </w:p>
    <w:p w14:paraId="481DA136" w14:textId="5247952B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F326425" w14:textId="6B38AAE4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7800E9A8" w14:textId="5610C38C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5C2AB2E4" w14:textId="6D1DB748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80D38EC" w14:textId="1E4D81A4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E732422" w14:textId="423DDEA1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5A929BC1" w14:textId="456E3014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F37377F" w14:textId="7458E0DF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0B7ADC5" w14:textId="719221A0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0E20E6C6" w14:textId="1F41DFEC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3D3817BB" w14:textId="2BF34736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EFFBA23" w14:textId="23948A30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4861321" w14:textId="76989B99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579628C7" w14:textId="36A73F39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49313AE2" w14:textId="00ACCD64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00502E47" w14:textId="1F0C0F12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CAAEA23" w14:textId="33E4FE75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73029BC1" w14:textId="461E1F5E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0CA6347D" w14:textId="5F3862FE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13AA456" w14:textId="11BF269A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6D388DA0" w14:textId="2D9E2F5C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88B9631" w14:textId="0E0DB15E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3E5A1547" w14:textId="20EF0C20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0DB0FE78" w14:textId="5A1F0913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73AC02AE" w14:textId="28EFB2D1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0EABBB18" w14:textId="6D353FEA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518F419A" w14:textId="7FD49CC3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A8EF3A8" w14:textId="79262F99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48FCE9EE" w14:textId="77777777" w:rsidR="003E48A6" w:rsidRPr="00676AA4" w:rsidRDefault="003E48A6" w:rsidP="003E48A6">
      <w:pPr>
        <w:tabs>
          <w:tab w:val="left" w:pos="7560"/>
        </w:tabs>
        <w:spacing w:line="276" w:lineRule="auto"/>
        <w:jc w:val="both"/>
      </w:pPr>
    </w:p>
    <w:p w14:paraId="12869F96" w14:textId="77777777" w:rsidR="006774EA" w:rsidRPr="00676AA4" w:rsidRDefault="00D20460" w:rsidP="003E48A6">
      <w:pPr>
        <w:spacing w:line="276" w:lineRule="auto"/>
        <w:rPr>
          <w:i/>
        </w:rPr>
      </w:pPr>
      <w:r w:rsidRPr="00676AA4">
        <w:rPr>
          <w:i/>
        </w:rPr>
        <w:t xml:space="preserve">Detaliojo planavimo ir architektūros poskyrio </w:t>
      </w:r>
    </w:p>
    <w:p w14:paraId="12869F9A" w14:textId="7F622CC7" w:rsidR="006774EA" w:rsidRPr="00676AA4" w:rsidRDefault="00D20460" w:rsidP="003E48A6">
      <w:pPr>
        <w:spacing w:line="276" w:lineRule="auto"/>
        <w:rPr>
          <w:i/>
        </w:rPr>
      </w:pPr>
      <w:r w:rsidRPr="00676AA4">
        <w:rPr>
          <w:i/>
        </w:rPr>
        <w:t>vyr. specialistė Valdonė Gavorskienė, 211 2519</w:t>
      </w:r>
    </w:p>
    <w:sectPr w:rsidR="006774EA" w:rsidRPr="00676AA4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61E5" w14:textId="77777777" w:rsidR="00030CBF" w:rsidRDefault="00030CBF">
      <w:r>
        <w:separator/>
      </w:r>
    </w:p>
  </w:endnote>
  <w:endnote w:type="continuationSeparator" w:id="0">
    <w:p w14:paraId="21FE6A11" w14:textId="77777777" w:rsidR="00030CBF" w:rsidRDefault="0003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3598" w14:textId="77777777" w:rsidR="00030CBF" w:rsidRDefault="00030CBF">
      <w:r>
        <w:rPr>
          <w:color w:val="000000"/>
        </w:rPr>
        <w:separator/>
      </w:r>
    </w:p>
  </w:footnote>
  <w:footnote w:type="continuationSeparator" w:id="0">
    <w:p w14:paraId="6745672F" w14:textId="77777777" w:rsidR="00030CBF" w:rsidRDefault="00030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EA"/>
    <w:rsid w:val="00030CBF"/>
    <w:rsid w:val="00047A1C"/>
    <w:rsid w:val="0008550C"/>
    <w:rsid w:val="000877BD"/>
    <w:rsid w:val="000B5967"/>
    <w:rsid w:val="000E718F"/>
    <w:rsid w:val="00126A01"/>
    <w:rsid w:val="0017152B"/>
    <w:rsid w:val="001812E5"/>
    <w:rsid w:val="001B5A8B"/>
    <w:rsid w:val="002158F7"/>
    <w:rsid w:val="00217244"/>
    <w:rsid w:val="002D10FF"/>
    <w:rsid w:val="00335EAB"/>
    <w:rsid w:val="00360CA1"/>
    <w:rsid w:val="003D64B1"/>
    <w:rsid w:val="003E3EBA"/>
    <w:rsid w:val="003E48A6"/>
    <w:rsid w:val="00421B3A"/>
    <w:rsid w:val="00425D24"/>
    <w:rsid w:val="004416B5"/>
    <w:rsid w:val="00472A23"/>
    <w:rsid w:val="00477CCC"/>
    <w:rsid w:val="0051365C"/>
    <w:rsid w:val="00572B07"/>
    <w:rsid w:val="005866DC"/>
    <w:rsid w:val="005D4036"/>
    <w:rsid w:val="00655BDF"/>
    <w:rsid w:val="00676AA4"/>
    <w:rsid w:val="006774EA"/>
    <w:rsid w:val="006A451B"/>
    <w:rsid w:val="006C5F0D"/>
    <w:rsid w:val="00710D09"/>
    <w:rsid w:val="00742394"/>
    <w:rsid w:val="00760295"/>
    <w:rsid w:val="00783FDB"/>
    <w:rsid w:val="0078688C"/>
    <w:rsid w:val="0079340E"/>
    <w:rsid w:val="00824DD7"/>
    <w:rsid w:val="00877680"/>
    <w:rsid w:val="0089125F"/>
    <w:rsid w:val="008B4E64"/>
    <w:rsid w:val="00921110"/>
    <w:rsid w:val="009D3A0A"/>
    <w:rsid w:val="00A360C2"/>
    <w:rsid w:val="00A803BE"/>
    <w:rsid w:val="00A905D6"/>
    <w:rsid w:val="00AD6756"/>
    <w:rsid w:val="00AE61B6"/>
    <w:rsid w:val="00B019C9"/>
    <w:rsid w:val="00B34D56"/>
    <w:rsid w:val="00B6381A"/>
    <w:rsid w:val="00BB2342"/>
    <w:rsid w:val="00C94D5B"/>
    <w:rsid w:val="00CF32BE"/>
    <w:rsid w:val="00CF3B8D"/>
    <w:rsid w:val="00D105CB"/>
    <w:rsid w:val="00D14D28"/>
    <w:rsid w:val="00D20460"/>
    <w:rsid w:val="00D37AEF"/>
    <w:rsid w:val="00D750C2"/>
    <w:rsid w:val="00D86075"/>
    <w:rsid w:val="00DB27F0"/>
    <w:rsid w:val="00DE737C"/>
    <w:rsid w:val="00E579F3"/>
    <w:rsid w:val="00E9140E"/>
    <w:rsid w:val="00EB2C89"/>
    <w:rsid w:val="00EF1E70"/>
    <w:rsid w:val="00F30D89"/>
    <w:rsid w:val="00F67EC6"/>
    <w:rsid w:val="00F80842"/>
    <w:rsid w:val="00FD75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9F73"/>
  <w15:docId w15:val="{F3A62FE3-5AC8-4FCF-99C3-70B32CD9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pPr>
      <w:jc w:val="center"/>
    </w:pPr>
    <w:rPr>
      <w:szCs w:val="20"/>
      <w:lang w:eastAsia="lt-LT"/>
    </w:rPr>
  </w:style>
  <w:style w:type="paragraph" w:styleId="Pagrindinistekstas">
    <w:name w:val="Body Text"/>
    <w:basedOn w:val="prastasis"/>
    <w:rPr>
      <w:szCs w:val="20"/>
    </w:rPr>
  </w:style>
  <w:style w:type="character" w:customStyle="1" w:styleId="PagrindinistekstasDiagrama">
    <w:name w:val="Pagrindinis tekstas Diagrama"/>
    <w:basedOn w:val="Numatytasispastraiposriftas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3F234A-CD86-4C40-894A-DDFE43507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B96B3-7F91-44A9-BB46-61E790511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CBDE8-4807-4D1F-9A43-5F5EFF6BD9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2238</Words>
  <Characters>1276</Characters>
  <Application>Microsoft Office Word</Application>
  <DocSecurity>0</DocSecurity>
  <Lines>10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Valdonė Gavorskienė</dc:creator>
  <dc:description/>
  <cp:lastModifiedBy>Valdonė Gavorskienė</cp:lastModifiedBy>
  <cp:revision>2</cp:revision>
  <dcterms:created xsi:type="dcterms:W3CDTF">2021-04-28T14:22:00Z</dcterms:created>
  <dcterms:modified xsi:type="dcterms:W3CDTF">2021-04-28T14:22:00Z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