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7331" w:rsidRPr="0074189B" w:rsidRDefault="00177331" w:rsidP="00177331">
      <w:pPr>
        <w:ind w:left="6946"/>
        <w:rPr>
          <w:lang w:val="lt-LT" w:eastAsia="lt-LT"/>
        </w:rPr>
      </w:pPr>
      <w:bookmarkStart w:id="0" w:name="_GoBack"/>
      <w:bookmarkEnd w:id="0"/>
      <w:r w:rsidRPr="0074189B">
        <w:rPr>
          <w:lang w:val="lt-LT" w:eastAsia="lt-LT"/>
        </w:rPr>
        <w:t>Forma patvirtinta</w:t>
      </w:r>
    </w:p>
    <w:p w:rsidR="00177331" w:rsidRPr="0074189B" w:rsidRDefault="00177331" w:rsidP="00177331">
      <w:pPr>
        <w:ind w:left="6946"/>
        <w:rPr>
          <w:lang w:val="lt-LT" w:eastAsia="lt-LT"/>
        </w:rPr>
      </w:pPr>
      <w:r w:rsidRPr="0074189B">
        <w:rPr>
          <w:lang w:val="lt-LT" w:eastAsia="lt-LT"/>
        </w:rPr>
        <w:t>Vilniaus miesto savivaldybės</w:t>
      </w:r>
    </w:p>
    <w:p w:rsidR="00177331" w:rsidRPr="0074189B" w:rsidRDefault="00177331" w:rsidP="00177331">
      <w:pPr>
        <w:ind w:left="6946"/>
        <w:rPr>
          <w:lang w:val="lt-LT" w:eastAsia="lt-LT"/>
        </w:rPr>
      </w:pPr>
      <w:r w:rsidRPr="0074189B">
        <w:rPr>
          <w:lang w:val="lt-LT" w:eastAsia="lt-LT"/>
        </w:rPr>
        <w:t xml:space="preserve">administracijos direktoriaus </w:t>
      </w:r>
    </w:p>
    <w:p w:rsidR="00177331" w:rsidRPr="0074189B" w:rsidRDefault="00177331" w:rsidP="00177331">
      <w:pPr>
        <w:ind w:left="6946"/>
        <w:rPr>
          <w:lang w:val="lt-LT" w:eastAsia="lt-LT"/>
        </w:rPr>
      </w:pPr>
      <w:r w:rsidRPr="0074189B">
        <w:rPr>
          <w:lang w:val="lt-LT" w:eastAsia="lt-LT"/>
        </w:rPr>
        <w:t>2019 m. d.</w:t>
      </w:r>
      <w:r>
        <w:rPr>
          <w:lang w:val="lt-LT" w:eastAsia="lt-LT"/>
        </w:rPr>
        <w:t xml:space="preserve"> lapkričio 27 d.</w:t>
      </w:r>
    </w:p>
    <w:p w:rsidR="00177331" w:rsidRPr="0074189B" w:rsidRDefault="00177331" w:rsidP="00177331">
      <w:pPr>
        <w:ind w:left="6946"/>
        <w:rPr>
          <w:lang w:val="lt-LT" w:eastAsia="lt-LT"/>
        </w:rPr>
      </w:pPr>
      <w:r w:rsidRPr="0074189B">
        <w:rPr>
          <w:lang w:val="lt-LT" w:eastAsia="lt-LT"/>
        </w:rPr>
        <w:t xml:space="preserve">įsakymu Nr. </w:t>
      </w:r>
      <w:r>
        <w:rPr>
          <w:lang w:val="lt-LT" w:eastAsia="lt-LT"/>
        </w:rPr>
        <w:t>30-3052/19</w:t>
      </w:r>
    </w:p>
    <w:p w:rsidR="00177331" w:rsidRPr="00D01848" w:rsidRDefault="00177331" w:rsidP="00177331">
      <w:pPr>
        <w:jc w:val="center"/>
        <w:rPr>
          <w:lang w:val="lt-LT"/>
        </w:rPr>
      </w:pPr>
      <w:r w:rsidRPr="00D01848">
        <w:rPr>
          <w:noProof/>
          <w:lang w:val="lt-LT" w:eastAsia="lt-LT"/>
        </w:rPr>
        <w:drawing>
          <wp:inline distT="0" distB="0" distL="0" distR="0">
            <wp:extent cx="619125" cy="600075"/>
            <wp:effectExtent l="0" t="0" r="9525" b="952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7331" w:rsidRPr="00D01848" w:rsidRDefault="00177331" w:rsidP="00177331">
      <w:pPr>
        <w:jc w:val="center"/>
        <w:rPr>
          <w:b/>
          <w:caps/>
          <w:lang w:val="lt-LT"/>
        </w:rPr>
      </w:pPr>
      <w:r w:rsidRPr="00D01848">
        <w:rPr>
          <w:b/>
          <w:caps/>
          <w:lang w:val="lt-LT"/>
        </w:rPr>
        <w:t>vILNIAUS MIESTO SAVIVALDYBĖS ADMINISTRACIJA</w:t>
      </w:r>
    </w:p>
    <w:p w:rsidR="00177331" w:rsidRPr="00D01848" w:rsidRDefault="00177331" w:rsidP="00177331">
      <w:pPr>
        <w:tabs>
          <w:tab w:val="num" w:pos="1260"/>
          <w:tab w:val="left" w:pos="7200"/>
        </w:tabs>
        <w:jc w:val="both"/>
        <w:rPr>
          <w:color w:val="000000"/>
          <w:sz w:val="22"/>
          <w:szCs w:val="22"/>
          <w:lang w:val="lt-LT"/>
        </w:rPr>
      </w:pPr>
    </w:p>
    <w:p w:rsidR="00177331" w:rsidRPr="00C36A05" w:rsidRDefault="00177331" w:rsidP="00177331">
      <w:pPr>
        <w:tabs>
          <w:tab w:val="num" w:pos="1260"/>
          <w:tab w:val="left" w:pos="7200"/>
        </w:tabs>
        <w:rPr>
          <w:sz w:val="20"/>
          <w:szCs w:val="20"/>
          <w:lang w:val="lt-LT"/>
        </w:rPr>
      </w:pPr>
      <w:r w:rsidRPr="00D01848">
        <w:rPr>
          <w:color w:val="000000"/>
          <w:sz w:val="20"/>
          <w:szCs w:val="20"/>
          <w:lang w:val="lt-LT"/>
        </w:rPr>
        <w:t xml:space="preserve"> </w:t>
      </w:r>
      <w:r w:rsidRPr="00D01848">
        <w:rPr>
          <w:color w:val="000000"/>
          <w:sz w:val="20"/>
          <w:szCs w:val="20"/>
          <w:lang w:val="lt-LT"/>
        </w:rPr>
        <w:tab/>
        <w:t xml:space="preserve">                                                                                                                 </w:t>
      </w:r>
      <w:r>
        <w:rPr>
          <w:color w:val="000000"/>
          <w:sz w:val="20"/>
          <w:szCs w:val="20"/>
          <w:lang w:val="lt-LT"/>
        </w:rPr>
        <w:t xml:space="preserve"> </w:t>
      </w:r>
      <w:r w:rsidRPr="00C36A05">
        <w:rPr>
          <w:sz w:val="20"/>
          <w:szCs w:val="20"/>
          <w:lang w:val="lt-LT"/>
        </w:rPr>
        <w:t>PRITARIU</w:t>
      </w:r>
    </w:p>
    <w:p w:rsidR="00177331" w:rsidRPr="00C36A05" w:rsidRDefault="00177331" w:rsidP="00177331">
      <w:pPr>
        <w:ind w:left="6226" w:firstLine="720"/>
        <w:rPr>
          <w:sz w:val="18"/>
          <w:szCs w:val="18"/>
          <w:lang w:val="lt-LT"/>
        </w:rPr>
      </w:pPr>
      <w:r w:rsidRPr="00C36A05">
        <w:rPr>
          <w:sz w:val="18"/>
          <w:szCs w:val="18"/>
          <w:lang w:val="lt-LT"/>
        </w:rPr>
        <w:t xml:space="preserve">Vyriausiasis miesto architektas </w:t>
      </w:r>
    </w:p>
    <w:p w:rsidR="00177331" w:rsidRPr="00D01848" w:rsidRDefault="00177331" w:rsidP="00177331">
      <w:pPr>
        <w:ind w:left="6946"/>
        <w:rPr>
          <w:color w:val="000000"/>
          <w:sz w:val="18"/>
          <w:szCs w:val="18"/>
          <w:lang w:val="lt-LT"/>
        </w:rPr>
      </w:pPr>
    </w:p>
    <w:p w:rsidR="00177331" w:rsidRPr="00D01848" w:rsidRDefault="00177331" w:rsidP="00177331">
      <w:pPr>
        <w:ind w:left="6946"/>
        <w:rPr>
          <w:color w:val="000000"/>
          <w:sz w:val="18"/>
          <w:szCs w:val="18"/>
          <w:lang w:val="lt-LT"/>
        </w:rPr>
      </w:pPr>
      <w:r w:rsidRPr="00D01848">
        <w:rPr>
          <w:color w:val="000000"/>
          <w:sz w:val="18"/>
          <w:szCs w:val="18"/>
          <w:lang w:val="lt-LT"/>
        </w:rPr>
        <w:t>________________________________</w:t>
      </w:r>
    </w:p>
    <w:p w:rsidR="00177331" w:rsidRPr="00D01848" w:rsidRDefault="00177331" w:rsidP="00177331">
      <w:pPr>
        <w:ind w:left="6946"/>
        <w:rPr>
          <w:color w:val="000000"/>
          <w:sz w:val="14"/>
          <w:szCs w:val="18"/>
          <w:lang w:val="lt-LT"/>
        </w:rPr>
      </w:pPr>
      <w:r w:rsidRPr="00D01848">
        <w:rPr>
          <w:color w:val="000000"/>
          <w:sz w:val="14"/>
          <w:szCs w:val="18"/>
          <w:lang w:val="lt-LT"/>
        </w:rPr>
        <w:t>(parašas)</w:t>
      </w:r>
    </w:p>
    <w:p w:rsidR="00177331" w:rsidRPr="00D01848" w:rsidRDefault="00177331" w:rsidP="00177331">
      <w:pPr>
        <w:ind w:left="6946"/>
        <w:jc w:val="both"/>
        <w:rPr>
          <w:color w:val="000000"/>
          <w:sz w:val="18"/>
          <w:szCs w:val="18"/>
          <w:lang w:val="lt-LT"/>
        </w:rPr>
      </w:pPr>
      <w:r w:rsidRPr="00D01848">
        <w:rPr>
          <w:color w:val="000000"/>
          <w:sz w:val="18"/>
          <w:szCs w:val="18"/>
          <w:lang w:val="lt-LT"/>
        </w:rPr>
        <w:t>20</w:t>
      </w:r>
      <w:r w:rsidR="0073674E">
        <w:rPr>
          <w:color w:val="000000"/>
          <w:sz w:val="18"/>
          <w:szCs w:val="18"/>
          <w:lang w:val="lt-LT"/>
        </w:rPr>
        <w:t>2</w:t>
      </w:r>
      <w:r w:rsidRPr="00D01848">
        <w:rPr>
          <w:color w:val="000000"/>
          <w:sz w:val="18"/>
          <w:szCs w:val="18"/>
          <w:lang w:val="lt-LT"/>
        </w:rPr>
        <w:t>___m._______________________d.</w:t>
      </w:r>
    </w:p>
    <w:p w:rsidR="00177331" w:rsidRDefault="00177331" w:rsidP="00177331">
      <w:pPr>
        <w:tabs>
          <w:tab w:val="num" w:pos="1260"/>
          <w:tab w:val="left" w:pos="7200"/>
        </w:tabs>
        <w:jc w:val="both"/>
        <w:rPr>
          <w:color w:val="000000"/>
          <w:sz w:val="22"/>
          <w:szCs w:val="22"/>
          <w:lang w:val="lt-LT"/>
        </w:rPr>
      </w:pPr>
    </w:p>
    <w:p w:rsidR="00177331" w:rsidRPr="00D01848" w:rsidRDefault="00177331" w:rsidP="00177331">
      <w:pPr>
        <w:jc w:val="center"/>
        <w:rPr>
          <w:b/>
          <w:caps/>
          <w:u w:val="single"/>
          <w:lang w:val="lt-LT"/>
        </w:rPr>
      </w:pPr>
      <w:r w:rsidRPr="00D01848">
        <w:rPr>
          <w:b/>
          <w:caps/>
          <w:lang w:val="lt-LT"/>
        </w:rPr>
        <w:t>PROJEKTINIŲ PASIŪLYMŲ RENGIMO užduotis</w:t>
      </w:r>
    </w:p>
    <w:p w:rsidR="00177331" w:rsidRDefault="00177331" w:rsidP="00177331">
      <w:pPr>
        <w:jc w:val="center"/>
        <w:rPr>
          <w:bCs/>
          <w:lang w:val="lt-LT"/>
        </w:rPr>
      </w:pPr>
    </w:p>
    <w:p w:rsidR="00177331" w:rsidRPr="008A7998" w:rsidRDefault="00177331" w:rsidP="00177331">
      <w:pPr>
        <w:jc w:val="center"/>
        <w:rPr>
          <w:bCs/>
          <w:lang w:val="lt-LT"/>
        </w:rPr>
      </w:pPr>
      <w:r>
        <w:rPr>
          <w:bCs/>
          <w:lang w:val="lt-LT"/>
        </w:rPr>
        <w:t xml:space="preserve">  </w:t>
      </w:r>
      <w:r w:rsidRPr="008A7998">
        <w:rPr>
          <w:bCs/>
          <w:lang w:val="lt-LT"/>
        </w:rPr>
        <w:t>20</w:t>
      </w:r>
      <w:r>
        <w:rPr>
          <w:bCs/>
          <w:lang w:val="lt-LT"/>
        </w:rPr>
        <w:t>20</w:t>
      </w:r>
      <w:r w:rsidRPr="008A7998">
        <w:rPr>
          <w:bCs/>
          <w:lang w:val="lt-LT"/>
        </w:rPr>
        <w:t xml:space="preserve"> m.</w:t>
      </w:r>
    </w:p>
    <w:p w:rsidR="00177331" w:rsidRPr="008A7998" w:rsidRDefault="00177331" w:rsidP="00177331">
      <w:pPr>
        <w:jc w:val="center"/>
        <w:rPr>
          <w:bCs/>
          <w:lang w:val="lt-LT"/>
        </w:rPr>
      </w:pPr>
      <w:r w:rsidRPr="008A7998">
        <w:rPr>
          <w:bCs/>
          <w:lang w:val="lt-LT"/>
        </w:rPr>
        <w:t>Vilnius</w:t>
      </w:r>
    </w:p>
    <w:p w:rsidR="00177331" w:rsidRPr="00D01848" w:rsidRDefault="00177331" w:rsidP="00177331">
      <w:pPr>
        <w:jc w:val="center"/>
        <w:rPr>
          <w:bCs/>
          <w:sz w:val="22"/>
          <w:lang w:val="lt-LT"/>
        </w:rPr>
      </w:pPr>
    </w:p>
    <w:p w:rsidR="00177331" w:rsidRPr="008C41F2" w:rsidRDefault="00177331" w:rsidP="00177331">
      <w:pPr>
        <w:pStyle w:val="Sraopastraipa"/>
        <w:numPr>
          <w:ilvl w:val="0"/>
          <w:numId w:val="1"/>
        </w:numPr>
        <w:jc w:val="both"/>
        <w:rPr>
          <w:lang w:val="lt-LT"/>
        </w:rPr>
      </w:pPr>
      <w:r w:rsidRPr="00762234">
        <w:rPr>
          <w:lang w:val="lt-LT"/>
        </w:rPr>
        <w:t>Statinio projekto pavadinimas</w:t>
      </w:r>
      <w:r>
        <w:rPr>
          <w:lang w:val="lt-LT"/>
        </w:rPr>
        <w:t xml:space="preserve">: </w:t>
      </w:r>
      <w:r w:rsidR="00175ED8" w:rsidRPr="00175ED8">
        <w:rPr>
          <w:u w:val="single"/>
        </w:rPr>
        <w:t xml:space="preserve">Vienbučio gyvenamo namo Liepų al. </w:t>
      </w:r>
      <w:r w:rsidR="00175ED8">
        <w:rPr>
          <w:u w:val="single"/>
        </w:rPr>
        <w:t xml:space="preserve">4, </w:t>
      </w:r>
      <w:proofErr w:type="spellStart"/>
      <w:r w:rsidR="00175ED8">
        <w:rPr>
          <w:u w:val="single"/>
        </w:rPr>
        <w:t>Vilniuje</w:t>
      </w:r>
      <w:proofErr w:type="spellEnd"/>
      <w:r w:rsidR="00175ED8">
        <w:rPr>
          <w:u w:val="single"/>
        </w:rPr>
        <w:t xml:space="preserve">, </w:t>
      </w:r>
      <w:proofErr w:type="spellStart"/>
      <w:r w:rsidR="00175ED8">
        <w:rPr>
          <w:u w:val="single"/>
        </w:rPr>
        <w:t>statybos</w:t>
      </w:r>
      <w:proofErr w:type="spellEnd"/>
      <w:r w:rsidR="00175ED8">
        <w:rPr>
          <w:u w:val="single"/>
        </w:rPr>
        <w:t xml:space="preserve"> </w:t>
      </w:r>
      <w:proofErr w:type="spellStart"/>
      <w:r w:rsidR="00175ED8">
        <w:rPr>
          <w:u w:val="single"/>
        </w:rPr>
        <w:t>projektas</w:t>
      </w:r>
      <w:proofErr w:type="spellEnd"/>
    </w:p>
    <w:p w:rsidR="00177331" w:rsidRPr="00D01848" w:rsidRDefault="00177331" w:rsidP="00177331">
      <w:pPr>
        <w:jc w:val="both"/>
        <w:rPr>
          <w:sz w:val="16"/>
          <w:szCs w:val="16"/>
          <w:lang w:val="lt-LT"/>
        </w:rPr>
      </w:pPr>
    </w:p>
    <w:p w:rsidR="00177331" w:rsidRPr="00E541C5" w:rsidRDefault="00177331" w:rsidP="00177331">
      <w:pPr>
        <w:numPr>
          <w:ilvl w:val="0"/>
          <w:numId w:val="1"/>
        </w:numPr>
        <w:jc w:val="both"/>
        <w:rPr>
          <w:sz w:val="20"/>
          <w:szCs w:val="20"/>
          <w:lang w:val="lt-LT"/>
        </w:rPr>
      </w:pPr>
      <w:r>
        <w:rPr>
          <w:lang w:val="lt-LT"/>
        </w:rPr>
        <w:t xml:space="preserve">Nustatomi žemės sklypo naudojimo reglamentai  </w:t>
      </w:r>
    </w:p>
    <w:tbl>
      <w:tblPr>
        <w:tblStyle w:val="Lentelstinklelis"/>
        <w:tblW w:w="0" w:type="auto"/>
        <w:tblInd w:w="108" w:type="dxa"/>
        <w:tblLook w:val="04A0" w:firstRow="1" w:lastRow="0" w:firstColumn="1" w:lastColumn="0" w:noHBand="0" w:noVBand="1"/>
      </w:tblPr>
      <w:tblGrid>
        <w:gridCol w:w="735"/>
        <w:gridCol w:w="3791"/>
        <w:gridCol w:w="5512"/>
      </w:tblGrid>
      <w:tr w:rsidR="002735EA" w:rsidRPr="002A6741" w:rsidTr="00611A35">
        <w:tc>
          <w:tcPr>
            <w:tcW w:w="735" w:type="dxa"/>
          </w:tcPr>
          <w:p w:rsidR="002735EA" w:rsidRPr="002A6741" w:rsidRDefault="002735EA" w:rsidP="00334FAC">
            <w:pPr>
              <w:jc w:val="both"/>
            </w:pPr>
            <w:r w:rsidRPr="002A6741">
              <w:t>2.1.</w:t>
            </w:r>
          </w:p>
        </w:tc>
        <w:tc>
          <w:tcPr>
            <w:tcW w:w="3801" w:type="dxa"/>
          </w:tcPr>
          <w:p w:rsidR="002735EA" w:rsidRPr="002A6741" w:rsidRDefault="002735EA" w:rsidP="00334FAC">
            <w:pPr>
              <w:jc w:val="both"/>
            </w:pPr>
            <w:r w:rsidRPr="002A6741">
              <w:t>užstatymo tipas</w:t>
            </w:r>
          </w:p>
        </w:tc>
        <w:tc>
          <w:tcPr>
            <w:tcW w:w="5529" w:type="dxa"/>
            <w:vMerge w:val="restart"/>
            <w:vAlign w:val="center"/>
          </w:tcPr>
          <w:p w:rsidR="002735EA" w:rsidRPr="002A6741" w:rsidRDefault="002735EA" w:rsidP="00B852A4">
            <w:pPr>
              <w:autoSpaceDE w:val="0"/>
              <w:autoSpaceDN w:val="0"/>
              <w:adjustRightInd w:val="0"/>
              <w:jc w:val="both"/>
            </w:pPr>
            <w:r w:rsidRPr="002A6741">
              <w:t>Vadovaujantis Lietuvos Respublikos teritorijų planavimo įstatymo 20 str.</w:t>
            </w:r>
            <w:r w:rsidR="00A71F24" w:rsidRPr="002A6741">
              <w:t xml:space="preserve"> 1, 2, 5 dalimis žemės sklypo na</w:t>
            </w:r>
            <w:r w:rsidR="00B852A4" w:rsidRPr="002A6741">
              <w:t>udojimo reglamentai nenustatomi.</w:t>
            </w:r>
            <w:r w:rsidR="008C3586" w:rsidRPr="002A6741">
              <w:t xml:space="preserve"> Vadovautis STR 2.02.09:2005 “Vienbučiai ir dvibučiai gyvenamieji pastai“, Vilniaus m. savivaldybės teritorijos </w:t>
            </w:r>
            <w:r w:rsidR="002A6741">
              <w:t>b</w:t>
            </w:r>
            <w:r w:rsidR="008C3586" w:rsidRPr="002A6741">
              <w:t xml:space="preserve">endrojo plano (TPDR </w:t>
            </w:r>
            <w:proofErr w:type="spellStart"/>
            <w:r w:rsidR="002A6741">
              <w:t>r</w:t>
            </w:r>
            <w:r w:rsidR="008C3586" w:rsidRPr="002A6741">
              <w:t>eg</w:t>
            </w:r>
            <w:proofErr w:type="spellEnd"/>
            <w:r w:rsidR="008C3586" w:rsidRPr="002A6741">
              <w:t>. Nr. T00056038) sprendiniais ir kitais teisės aktais.</w:t>
            </w:r>
          </w:p>
        </w:tc>
      </w:tr>
      <w:tr w:rsidR="002735EA" w:rsidRPr="002A6741" w:rsidTr="00611A35">
        <w:tc>
          <w:tcPr>
            <w:tcW w:w="735" w:type="dxa"/>
          </w:tcPr>
          <w:p w:rsidR="002735EA" w:rsidRPr="002A6741" w:rsidRDefault="002735EA" w:rsidP="00334FAC">
            <w:pPr>
              <w:jc w:val="both"/>
            </w:pPr>
            <w:r w:rsidRPr="002A6741">
              <w:t>2.2.</w:t>
            </w:r>
          </w:p>
        </w:tc>
        <w:tc>
          <w:tcPr>
            <w:tcW w:w="3801" w:type="dxa"/>
          </w:tcPr>
          <w:p w:rsidR="002735EA" w:rsidRPr="002A6741" w:rsidRDefault="002735EA" w:rsidP="00334FAC">
            <w:pPr>
              <w:jc w:val="both"/>
            </w:pPr>
            <w:r w:rsidRPr="002A6741">
              <w:t>užstatymo tankis</w:t>
            </w:r>
          </w:p>
        </w:tc>
        <w:tc>
          <w:tcPr>
            <w:tcW w:w="5529" w:type="dxa"/>
            <w:vMerge/>
            <w:vAlign w:val="center"/>
          </w:tcPr>
          <w:p w:rsidR="002735EA" w:rsidRPr="002A6741" w:rsidRDefault="002735EA" w:rsidP="00201076">
            <w:pPr>
              <w:autoSpaceDE w:val="0"/>
              <w:autoSpaceDN w:val="0"/>
              <w:adjustRightInd w:val="0"/>
              <w:jc w:val="both"/>
            </w:pPr>
          </w:p>
        </w:tc>
      </w:tr>
      <w:tr w:rsidR="002735EA" w:rsidRPr="002A6741" w:rsidTr="00611A35">
        <w:tc>
          <w:tcPr>
            <w:tcW w:w="735" w:type="dxa"/>
          </w:tcPr>
          <w:p w:rsidR="002735EA" w:rsidRPr="002A6741" w:rsidRDefault="002735EA" w:rsidP="00334FAC">
            <w:pPr>
              <w:jc w:val="both"/>
            </w:pPr>
            <w:r w:rsidRPr="002A6741">
              <w:t>2.3.</w:t>
            </w:r>
          </w:p>
        </w:tc>
        <w:tc>
          <w:tcPr>
            <w:tcW w:w="3801" w:type="dxa"/>
          </w:tcPr>
          <w:p w:rsidR="002735EA" w:rsidRPr="002A6741" w:rsidRDefault="002735EA" w:rsidP="00334FAC">
            <w:pPr>
              <w:jc w:val="both"/>
            </w:pPr>
            <w:r w:rsidRPr="002A6741">
              <w:t>užstatymo intensyvumas</w:t>
            </w:r>
          </w:p>
        </w:tc>
        <w:tc>
          <w:tcPr>
            <w:tcW w:w="5529" w:type="dxa"/>
            <w:vMerge/>
            <w:vAlign w:val="center"/>
          </w:tcPr>
          <w:p w:rsidR="002735EA" w:rsidRPr="002A6741" w:rsidRDefault="002735EA" w:rsidP="00201076">
            <w:pPr>
              <w:autoSpaceDE w:val="0"/>
              <w:autoSpaceDN w:val="0"/>
              <w:adjustRightInd w:val="0"/>
              <w:jc w:val="both"/>
            </w:pPr>
          </w:p>
        </w:tc>
      </w:tr>
      <w:tr w:rsidR="002735EA" w:rsidRPr="002A6741" w:rsidTr="00611A35">
        <w:tc>
          <w:tcPr>
            <w:tcW w:w="735" w:type="dxa"/>
          </w:tcPr>
          <w:p w:rsidR="002735EA" w:rsidRPr="002A6741" w:rsidRDefault="002735EA" w:rsidP="00334FAC">
            <w:pPr>
              <w:jc w:val="both"/>
            </w:pPr>
            <w:r w:rsidRPr="002A6741">
              <w:t>2.4.</w:t>
            </w:r>
          </w:p>
        </w:tc>
        <w:tc>
          <w:tcPr>
            <w:tcW w:w="3801" w:type="dxa"/>
          </w:tcPr>
          <w:p w:rsidR="002735EA" w:rsidRPr="002A6741" w:rsidRDefault="002735EA" w:rsidP="00334FAC">
            <w:pPr>
              <w:jc w:val="both"/>
            </w:pPr>
            <w:r w:rsidRPr="002A6741">
              <w:t>aukštis (m) nuo statinių statybos zonos esamo žemės paviršiaus</w:t>
            </w:r>
          </w:p>
        </w:tc>
        <w:tc>
          <w:tcPr>
            <w:tcW w:w="5529" w:type="dxa"/>
            <w:vMerge/>
            <w:vAlign w:val="center"/>
          </w:tcPr>
          <w:p w:rsidR="002735EA" w:rsidRPr="002A6741" w:rsidRDefault="002735EA" w:rsidP="00201076">
            <w:pPr>
              <w:autoSpaceDE w:val="0"/>
              <w:autoSpaceDN w:val="0"/>
              <w:adjustRightInd w:val="0"/>
              <w:jc w:val="both"/>
            </w:pPr>
          </w:p>
        </w:tc>
      </w:tr>
      <w:tr w:rsidR="002735EA" w:rsidRPr="002A6741" w:rsidTr="00611A35">
        <w:tc>
          <w:tcPr>
            <w:tcW w:w="735" w:type="dxa"/>
          </w:tcPr>
          <w:p w:rsidR="002735EA" w:rsidRPr="002A6741" w:rsidRDefault="002735EA" w:rsidP="00334FAC">
            <w:pPr>
              <w:jc w:val="both"/>
            </w:pPr>
            <w:r w:rsidRPr="002A6741">
              <w:t>2.5.</w:t>
            </w:r>
          </w:p>
        </w:tc>
        <w:tc>
          <w:tcPr>
            <w:tcW w:w="3801" w:type="dxa"/>
            <w:shd w:val="clear" w:color="auto" w:fill="auto"/>
          </w:tcPr>
          <w:p w:rsidR="002735EA" w:rsidRPr="002A6741" w:rsidRDefault="002735EA" w:rsidP="00334FAC">
            <w:pPr>
              <w:jc w:val="both"/>
            </w:pPr>
            <w:r w:rsidRPr="002A6741">
              <w:t>maksimali absoliutinė altitudė (m)</w:t>
            </w:r>
          </w:p>
        </w:tc>
        <w:tc>
          <w:tcPr>
            <w:tcW w:w="5529" w:type="dxa"/>
            <w:vMerge/>
            <w:shd w:val="clear" w:color="auto" w:fill="auto"/>
            <w:vAlign w:val="center"/>
          </w:tcPr>
          <w:p w:rsidR="002735EA" w:rsidRPr="002A6741" w:rsidRDefault="002735EA" w:rsidP="00201076">
            <w:pPr>
              <w:autoSpaceDE w:val="0"/>
              <w:autoSpaceDN w:val="0"/>
              <w:adjustRightInd w:val="0"/>
              <w:jc w:val="both"/>
            </w:pPr>
          </w:p>
        </w:tc>
      </w:tr>
      <w:tr w:rsidR="002735EA" w:rsidRPr="002A6741" w:rsidTr="00611A35">
        <w:tc>
          <w:tcPr>
            <w:tcW w:w="735" w:type="dxa"/>
          </w:tcPr>
          <w:p w:rsidR="002735EA" w:rsidRPr="002A6741" w:rsidRDefault="002735EA" w:rsidP="00334FAC">
            <w:pPr>
              <w:jc w:val="both"/>
            </w:pPr>
            <w:r w:rsidRPr="002A6741">
              <w:t>2.6.</w:t>
            </w:r>
          </w:p>
        </w:tc>
        <w:tc>
          <w:tcPr>
            <w:tcW w:w="3801" w:type="dxa"/>
          </w:tcPr>
          <w:p w:rsidR="002735EA" w:rsidRPr="002A6741" w:rsidRDefault="002735EA" w:rsidP="00334FAC">
            <w:pPr>
              <w:jc w:val="both"/>
            </w:pPr>
            <w:r w:rsidRPr="002A6741">
              <w:t>aukštų skaičius (nuo–iki)</w:t>
            </w:r>
          </w:p>
        </w:tc>
        <w:tc>
          <w:tcPr>
            <w:tcW w:w="5529" w:type="dxa"/>
            <w:vMerge/>
            <w:vAlign w:val="center"/>
          </w:tcPr>
          <w:p w:rsidR="002735EA" w:rsidRPr="002A6741" w:rsidRDefault="002735EA" w:rsidP="00201076">
            <w:pPr>
              <w:autoSpaceDE w:val="0"/>
              <w:autoSpaceDN w:val="0"/>
              <w:adjustRightInd w:val="0"/>
              <w:jc w:val="both"/>
            </w:pPr>
          </w:p>
        </w:tc>
      </w:tr>
      <w:tr w:rsidR="002735EA" w:rsidRPr="002A6741" w:rsidTr="00611A35">
        <w:tc>
          <w:tcPr>
            <w:tcW w:w="735" w:type="dxa"/>
          </w:tcPr>
          <w:p w:rsidR="002735EA" w:rsidRPr="002A6741" w:rsidRDefault="002735EA" w:rsidP="00334FAC">
            <w:pPr>
              <w:jc w:val="both"/>
            </w:pPr>
            <w:r w:rsidRPr="002A6741">
              <w:t>2.7.</w:t>
            </w:r>
          </w:p>
        </w:tc>
        <w:tc>
          <w:tcPr>
            <w:tcW w:w="3801" w:type="dxa"/>
          </w:tcPr>
          <w:p w:rsidR="002735EA" w:rsidRPr="002A6741" w:rsidRDefault="00A71F24" w:rsidP="00334FAC">
            <w:pPr>
              <w:jc w:val="both"/>
            </w:pPr>
            <w:r w:rsidRPr="002A6741">
              <w:t>p</w:t>
            </w:r>
            <w:r w:rsidR="002735EA" w:rsidRPr="002A6741">
              <w:t>riklausomųjų želdynų plotas</w:t>
            </w:r>
          </w:p>
        </w:tc>
        <w:tc>
          <w:tcPr>
            <w:tcW w:w="5529" w:type="dxa"/>
            <w:vMerge/>
            <w:vAlign w:val="center"/>
          </w:tcPr>
          <w:p w:rsidR="002735EA" w:rsidRPr="002A6741" w:rsidRDefault="002735EA" w:rsidP="00201076">
            <w:pPr>
              <w:autoSpaceDE w:val="0"/>
              <w:autoSpaceDN w:val="0"/>
              <w:adjustRightInd w:val="0"/>
              <w:jc w:val="both"/>
            </w:pPr>
          </w:p>
        </w:tc>
      </w:tr>
      <w:tr w:rsidR="00177331" w:rsidRPr="002A6741" w:rsidTr="00611A35">
        <w:tc>
          <w:tcPr>
            <w:tcW w:w="735" w:type="dxa"/>
          </w:tcPr>
          <w:p w:rsidR="00177331" w:rsidRPr="002A6741" w:rsidRDefault="00177331" w:rsidP="00334FAC">
            <w:pPr>
              <w:jc w:val="both"/>
            </w:pPr>
            <w:r w:rsidRPr="002A6741">
              <w:t>2.</w:t>
            </w:r>
            <w:r w:rsidR="00A71F24" w:rsidRPr="002A6741">
              <w:t>8</w:t>
            </w:r>
            <w:r w:rsidRPr="002A6741">
              <w:t>.</w:t>
            </w:r>
          </w:p>
        </w:tc>
        <w:tc>
          <w:tcPr>
            <w:tcW w:w="3801" w:type="dxa"/>
          </w:tcPr>
          <w:p w:rsidR="00177331" w:rsidRPr="002A6741" w:rsidRDefault="00177331" w:rsidP="00334FAC">
            <w:pPr>
              <w:jc w:val="both"/>
            </w:pPr>
            <w:r w:rsidRPr="002A6741">
              <w:t>automobilių stovėjimo vietų skaičius</w:t>
            </w:r>
          </w:p>
        </w:tc>
        <w:tc>
          <w:tcPr>
            <w:tcW w:w="5529" w:type="dxa"/>
            <w:vAlign w:val="center"/>
          </w:tcPr>
          <w:p w:rsidR="00177331" w:rsidRPr="002A6741" w:rsidRDefault="00177331" w:rsidP="00066B33">
            <w:pPr>
              <w:autoSpaceDE w:val="0"/>
              <w:autoSpaceDN w:val="0"/>
              <w:adjustRightInd w:val="0"/>
              <w:jc w:val="both"/>
            </w:pPr>
            <w:r w:rsidRPr="002A6741">
              <w:t>Pagal STR 2.06.04:2014 „Gatvės ir vietinės reikšmės keliai. Bendrieji reikalavimai“ bei Vilniaus miesto savivaldybės tarybos patvirtintą 2017-12-20 sprendimą Nr. 1-1312 „Dėl Vilniaus miesto savivaldybės teritorijos suskirstymo į zonas pagal nustatytus automobilių stovėjimo vietų skaičiaus koeficientus schemos, kompensavimo už papildomai įrengtas automobilių stovėjimo vietas tvarkos aprašo ir sutarties formos tvirtinimo“</w:t>
            </w:r>
            <w:r w:rsidR="00D14CCF" w:rsidRPr="002A6741">
              <w:t>.</w:t>
            </w:r>
          </w:p>
        </w:tc>
      </w:tr>
      <w:tr w:rsidR="00177331" w:rsidRPr="002A6741" w:rsidTr="00611A35">
        <w:tc>
          <w:tcPr>
            <w:tcW w:w="735" w:type="dxa"/>
          </w:tcPr>
          <w:p w:rsidR="00177331" w:rsidRPr="002A6741" w:rsidRDefault="00177331" w:rsidP="00E83BD5">
            <w:pPr>
              <w:jc w:val="both"/>
            </w:pPr>
            <w:r w:rsidRPr="002A6741">
              <w:t>2.</w:t>
            </w:r>
            <w:r w:rsidR="00E83BD5" w:rsidRPr="002A6741">
              <w:t>9</w:t>
            </w:r>
            <w:r w:rsidRPr="002A6741">
              <w:t>.</w:t>
            </w:r>
          </w:p>
        </w:tc>
        <w:tc>
          <w:tcPr>
            <w:tcW w:w="3801" w:type="dxa"/>
          </w:tcPr>
          <w:p w:rsidR="00177331" w:rsidRPr="002A6741" w:rsidRDefault="00177331" w:rsidP="00334FAC">
            <w:r w:rsidRPr="002A6741">
              <w:t>esamų medžių įvertinimas, taksacija</w:t>
            </w:r>
          </w:p>
        </w:tc>
        <w:tc>
          <w:tcPr>
            <w:tcW w:w="5529" w:type="dxa"/>
            <w:vAlign w:val="center"/>
          </w:tcPr>
          <w:p w:rsidR="00177331" w:rsidRPr="002A6741" w:rsidRDefault="00960419" w:rsidP="004513A3">
            <w:pPr>
              <w:jc w:val="both"/>
            </w:pPr>
            <w:r w:rsidRPr="002A6741">
              <w:t>Nereikalinga</w:t>
            </w:r>
            <w:r w:rsidR="00514A43" w:rsidRPr="002A6741">
              <w:t>.</w:t>
            </w:r>
          </w:p>
        </w:tc>
      </w:tr>
    </w:tbl>
    <w:p w:rsidR="00177331" w:rsidRPr="002A6741" w:rsidRDefault="00177331" w:rsidP="00177331">
      <w:pPr>
        <w:ind w:left="360"/>
        <w:jc w:val="both"/>
        <w:rPr>
          <w:sz w:val="16"/>
          <w:szCs w:val="16"/>
          <w:lang w:val="lt-LT"/>
        </w:rPr>
      </w:pPr>
    </w:p>
    <w:p w:rsidR="00927EA6" w:rsidRPr="002A6741" w:rsidRDefault="00927EA6" w:rsidP="00177331">
      <w:pPr>
        <w:ind w:left="360"/>
        <w:jc w:val="both"/>
        <w:rPr>
          <w:sz w:val="16"/>
          <w:szCs w:val="16"/>
          <w:lang w:val="lt-LT"/>
        </w:rPr>
      </w:pPr>
    </w:p>
    <w:p w:rsidR="00177331" w:rsidRPr="002A6741" w:rsidRDefault="00177331" w:rsidP="00927EA6">
      <w:pPr>
        <w:numPr>
          <w:ilvl w:val="0"/>
          <w:numId w:val="1"/>
        </w:numPr>
        <w:rPr>
          <w:lang w:val="lt-LT"/>
        </w:rPr>
      </w:pPr>
      <w:r w:rsidRPr="002A6741">
        <w:rPr>
          <w:lang w:val="lt-LT"/>
        </w:rPr>
        <w:t>Kiti reikalavimai</w:t>
      </w:r>
    </w:p>
    <w:tbl>
      <w:tblPr>
        <w:tblStyle w:val="Lentelstinklelis"/>
        <w:tblW w:w="10065" w:type="dxa"/>
        <w:tblInd w:w="108" w:type="dxa"/>
        <w:tblLook w:val="04A0" w:firstRow="1" w:lastRow="0" w:firstColumn="1" w:lastColumn="0" w:noHBand="0" w:noVBand="1"/>
      </w:tblPr>
      <w:tblGrid>
        <w:gridCol w:w="648"/>
        <w:gridCol w:w="3888"/>
        <w:gridCol w:w="5529"/>
      </w:tblGrid>
      <w:tr w:rsidR="00177331" w:rsidRPr="002A6741" w:rsidTr="00611A35">
        <w:trPr>
          <w:trHeight w:val="277"/>
        </w:trPr>
        <w:tc>
          <w:tcPr>
            <w:tcW w:w="648" w:type="dxa"/>
          </w:tcPr>
          <w:p w:rsidR="00177331" w:rsidRPr="002A6741" w:rsidRDefault="00177331" w:rsidP="00334FAC">
            <w:r w:rsidRPr="002A6741">
              <w:t>3.1.</w:t>
            </w:r>
          </w:p>
        </w:tc>
        <w:tc>
          <w:tcPr>
            <w:tcW w:w="3888" w:type="dxa"/>
          </w:tcPr>
          <w:p w:rsidR="00177331" w:rsidRPr="002A6741" w:rsidRDefault="00177331" w:rsidP="00334FAC">
            <w:r w:rsidRPr="002A6741">
              <w:t>architektūrinės išraiškos priemonės: medžiagiškumas, spalva, tūrio formos, proporcijos, mastelis</w:t>
            </w:r>
          </w:p>
        </w:tc>
        <w:tc>
          <w:tcPr>
            <w:tcW w:w="5529" w:type="dxa"/>
            <w:vAlign w:val="center"/>
          </w:tcPr>
          <w:p w:rsidR="00177331" w:rsidRPr="002A6741" w:rsidRDefault="008C1415" w:rsidP="007C20C5">
            <w:pPr>
              <w:jc w:val="both"/>
            </w:pPr>
            <w:r w:rsidRPr="002A6741">
              <w:t xml:space="preserve">Architektūrinė išraiška </w:t>
            </w:r>
            <w:proofErr w:type="spellStart"/>
            <w:r w:rsidRPr="002A6741">
              <w:t>kontekstuali</w:t>
            </w:r>
            <w:proofErr w:type="spellEnd"/>
            <w:r w:rsidRPr="002A6741">
              <w:t xml:space="preserve"> aplinkai. Užtikrinti pastato architektūrinę kokybę architektūrinėmis išraiškos priemonėmis.</w:t>
            </w:r>
          </w:p>
        </w:tc>
      </w:tr>
      <w:tr w:rsidR="00177331" w:rsidRPr="002A6741" w:rsidTr="00611A35">
        <w:trPr>
          <w:trHeight w:val="316"/>
        </w:trPr>
        <w:tc>
          <w:tcPr>
            <w:tcW w:w="648" w:type="dxa"/>
          </w:tcPr>
          <w:p w:rsidR="00177331" w:rsidRPr="002A6741" w:rsidRDefault="00177331" w:rsidP="00334FAC">
            <w:r w:rsidRPr="002A6741">
              <w:t>3.2.</w:t>
            </w:r>
          </w:p>
        </w:tc>
        <w:tc>
          <w:tcPr>
            <w:tcW w:w="3888" w:type="dxa"/>
          </w:tcPr>
          <w:p w:rsidR="00177331" w:rsidRPr="002A6741" w:rsidRDefault="00177331" w:rsidP="00334FAC">
            <w:r w:rsidRPr="002A6741">
              <w:t>reikalavimai sklypo sutvarkymui ir apželdinimui</w:t>
            </w:r>
          </w:p>
        </w:tc>
        <w:tc>
          <w:tcPr>
            <w:tcW w:w="5529" w:type="dxa"/>
            <w:vAlign w:val="center"/>
          </w:tcPr>
          <w:p w:rsidR="00177331" w:rsidRPr="002A6741" w:rsidRDefault="007D4CA1" w:rsidP="004513A3">
            <w:pPr>
              <w:jc w:val="both"/>
              <w:rPr>
                <w:color w:val="FF0000"/>
              </w:rPr>
            </w:pPr>
            <w:r w:rsidRPr="002A6741">
              <w:rPr>
                <w:color w:val="000000" w:themeColor="text1"/>
              </w:rPr>
              <w:t xml:space="preserve">Išlaikyti besiformuojančią Liepų al. užstatymo liniją. </w:t>
            </w:r>
            <w:r w:rsidR="00CA3295" w:rsidRPr="002A6741">
              <w:t>Atsižvelgti į STR 2.02.09:2005 "Vienbučiai gyvenamieji pastatai" reikalavimus.</w:t>
            </w:r>
          </w:p>
        </w:tc>
      </w:tr>
      <w:tr w:rsidR="00177331" w:rsidRPr="002A6741" w:rsidTr="00611A35">
        <w:trPr>
          <w:trHeight w:val="316"/>
        </w:trPr>
        <w:tc>
          <w:tcPr>
            <w:tcW w:w="648" w:type="dxa"/>
          </w:tcPr>
          <w:p w:rsidR="00177331" w:rsidRPr="002A6741" w:rsidRDefault="00177331" w:rsidP="00334FAC">
            <w:r w:rsidRPr="002A6741">
              <w:t>3.3.</w:t>
            </w:r>
          </w:p>
        </w:tc>
        <w:tc>
          <w:tcPr>
            <w:tcW w:w="3888" w:type="dxa"/>
          </w:tcPr>
          <w:p w:rsidR="00177331" w:rsidRPr="002A6741" w:rsidRDefault="00177331" w:rsidP="00334FAC">
            <w:r w:rsidRPr="002A6741">
              <w:t>konteksto sąlygojami reikalavimai</w:t>
            </w:r>
          </w:p>
        </w:tc>
        <w:tc>
          <w:tcPr>
            <w:tcW w:w="5529" w:type="dxa"/>
            <w:vAlign w:val="center"/>
          </w:tcPr>
          <w:p w:rsidR="00177331" w:rsidRPr="002A6741" w:rsidRDefault="0025198A" w:rsidP="00F048F8">
            <w:pPr>
              <w:jc w:val="both"/>
              <w:rPr>
                <w:color w:val="FF0000"/>
              </w:rPr>
            </w:pPr>
            <w:r w:rsidRPr="002A6741">
              <w:rPr>
                <w:color w:val="000000" w:themeColor="text1"/>
              </w:rPr>
              <w:t>Įvertinti</w:t>
            </w:r>
            <w:r w:rsidR="00B83776" w:rsidRPr="002A6741">
              <w:rPr>
                <w:color w:val="000000" w:themeColor="text1"/>
              </w:rPr>
              <w:t xml:space="preserve"> </w:t>
            </w:r>
            <w:r w:rsidRPr="002A6741">
              <w:rPr>
                <w:color w:val="000000" w:themeColor="text1"/>
              </w:rPr>
              <w:t>šalia esančią bei valstybės saugomą Trakų Vokės dvaro sodybos</w:t>
            </w:r>
            <w:r w:rsidR="007D4CA1" w:rsidRPr="002A6741">
              <w:rPr>
                <w:color w:val="000000" w:themeColor="text1"/>
              </w:rPr>
              <w:t xml:space="preserve"> (kodas 923)</w:t>
            </w:r>
            <w:r w:rsidRPr="002A6741">
              <w:rPr>
                <w:color w:val="000000" w:themeColor="text1"/>
              </w:rPr>
              <w:t xml:space="preserve"> teritoriją ir jos elementus. Nepažeisti </w:t>
            </w:r>
            <w:r w:rsidR="00B83776" w:rsidRPr="002A6741">
              <w:rPr>
                <w:color w:val="000000" w:themeColor="text1"/>
              </w:rPr>
              <w:t>Nekilnojamojo k</w:t>
            </w:r>
            <w:r w:rsidRPr="002A6741">
              <w:rPr>
                <w:color w:val="000000" w:themeColor="text1"/>
              </w:rPr>
              <w:t>ultūros paveldo</w:t>
            </w:r>
            <w:r w:rsidR="00B83776" w:rsidRPr="002A6741">
              <w:rPr>
                <w:color w:val="000000" w:themeColor="text1"/>
              </w:rPr>
              <w:t xml:space="preserve"> apsaugos įstatyme nustatytus reikalavimus </w:t>
            </w:r>
            <w:r w:rsidRPr="002A6741">
              <w:rPr>
                <w:color w:val="000000" w:themeColor="text1"/>
              </w:rPr>
              <w:t>vizuali</w:t>
            </w:r>
            <w:r w:rsidR="00B83776" w:rsidRPr="002A6741">
              <w:rPr>
                <w:color w:val="000000" w:themeColor="text1"/>
              </w:rPr>
              <w:t>niam</w:t>
            </w:r>
            <w:r w:rsidRPr="002A6741">
              <w:rPr>
                <w:color w:val="000000" w:themeColor="text1"/>
              </w:rPr>
              <w:t xml:space="preserve"> apsaugos </w:t>
            </w:r>
            <w:proofErr w:type="spellStart"/>
            <w:r w:rsidRPr="002A6741">
              <w:rPr>
                <w:color w:val="000000" w:themeColor="text1"/>
              </w:rPr>
              <w:t>pozoni</w:t>
            </w:r>
            <w:r w:rsidR="00B83776" w:rsidRPr="002A6741">
              <w:rPr>
                <w:color w:val="000000" w:themeColor="text1"/>
              </w:rPr>
              <w:t>ui</w:t>
            </w:r>
            <w:proofErr w:type="spellEnd"/>
            <w:r w:rsidR="007D4CA1" w:rsidRPr="002A6741">
              <w:rPr>
                <w:color w:val="000000" w:themeColor="text1"/>
              </w:rPr>
              <w:t xml:space="preserve"> bei v</w:t>
            </w:r>
            <w:r w:rsidRPr="002A6741">
              <w:rPr>
                <w:color w:val="000000" w:themeColor="text1"/>
              </w:rPr>
              <w:t xml:space="preserve">adovautis 2020 m. gegužės 22 </w:t>
            </w:r>
            <w:r w:rsidRPr="002A6741">
              <w:rPr>
                <w:color w:val="000000" w:themeColor="text1"/>
              </w:rPr>
              <w:lastRenderedPageBreak/>
              <w:t>d.</w:t>
            </w:r>
            <w:r w:rsidR="00B83776" w:rsidRPr="002A6741">
              <w:rPr>
                <w:color w:val="000000" w:themeColor="text1"/>
              </w:rPr>
              <w:t xml:space="preserve"> Nr. A655-179/20(2.3.3.14E-VMA) Vyriausiojo miesto architekto skyriaus Kultūros paveldo apsaugos poskyrio rašto</w:t>
            </w:r>
            <w:r w:rsidR="007D4CA1" w:rsidRPr="002A6741">
              <w:rPr>
                <w:color w:val="000000" w:themeColor="text1"/>
              </w:rPr>
              <w:t xml:space="preserve"> Nr. A655-179/20(2.3.3.14E-VMA)</w:t>
            </w:r>
            <w:r w:rsidR="00B83776" w:rsidRPr="002A6741">
              <w:rPr>
                <w:color w:val="000000" w:themeColor="text1"/>
              </w:rPr>
              <w:t xml:space="preserve"> pastabomis.</w:t>
            </w:r>
          </w:p>
        </w:tc>
      </w:tr>
      <w:tr w:rsidR="00177331" w:rsidRPr="00D01848" w:rsidTr="00611A35">
        <w:trPr>
          <w:trHeight w:val="316"/>
        </w:trPr>
        <w:tc>
          <w:tcPr>
            <w:tcW w:w="648" w:type="dxa"/>
          </w:tcPr>
          <w:p w:rsidR="00177331" w:rsidRPr="0090137F" w:rsidRDefault="001D78E1" w:rsidP="00334FAC">
            <w:r>
              <w:lastRenderedPageBreak/>
              <w:t>3</w:t>
            </w:r>
            <w:r w:rsidRPr="00D01848">
              <w:t>.</w:t>
            </w:r>
            <w:r>
              <w:t>4</w:t>
            </w:r>
            <w:r w:rsidRPr="00D01848">
              <w:t>.</w:t>
            </w:r>
          </w:p>
        </w:tc>
        <w:tc>
          <w:tcPr>
            <w:tcW w:w="3888" w:type="dxa"/>
          </w:tcPr>
          <w:p w:rsidR="00177331" w:rsidRPr="0090137F" w:rsidRDefault="00177331" w:rsidP="00334FAC">
            <w:r w:rsidRPr="00D01848">
              <w:t xml:space="preserve">reikalavimai susisiekimo </w:t>
            </w:r>
            <w:r>
              <w:t xml:space="preserve">ir inžinerinių </w:t>
            </w:r>
            <w:r w:rsidRPr="00D01848">
              <w:t>tinkl</w:t>
            </w:r>
            <w:r>
              <w:t>ų</w:t>
            </w:r>
            <w:r w:rsidRPr="00D01848">
              <w:t xml:space="preserve"> </w:t>
            </w:r>
            <w:r>
              <w:t>plėtrai</w:t>
            </w:r>
          </w:p>
        </w:tc>
        <w:tc>
          <w:tcPr>
            <w:tcW w:w="5529" w:type="dxa"/>
            <w:vAlign w:val="center"/>
          </w:tcPr>
          <w:p w:rsidR="00177331" w:rsidRPr="00927EA6" w:rsidRDefault="003E7956" w:rsidP="004513A3">
            <w:pPr>
              <w:jc w:val="both"/>
            </w:pPr>
            <w:r>
              <w:t>-</w:t>
            </w:r>
          </w:p>
        </w:tc>
      </w:tr>
      <w:tr w:rsidR="00177331" w:rsidRPr="00D01848" w:rsidTr="00611A35">
        <w:trPr>
          <w:trHeight w:val="554"/>
        </w:trPr>
        <w:tc>
          <w:tcPr>
            <w:tcW w:w="648" w:type="dxa"/>
          </w:tcPr>
          <w:p w:rsidR="00177331" w:rsidRPr="00D01848" w:rsidRDefault="00177331" w:rsidP="001D78E1">
            <w:r>
              <w:t>3</w:t>
            </w:r>
            <w:r w:rsidRPr="00D01848">
              <w:t>.</w:t>
            </w:r>
            <w:r w:rsidR="001D78E1">
              <w:t>5</w:t>
            </w:r>
            <w:r w:rsidRPr="00D01848">
              <w:t>.</w:t>
            </w:r>
          </w:p>
        </w:tc>
        <w:tc>
          <w:tcPr>
            <w:tcW w:w="3888" w:type="dxa"/>
          </w:tcPr>
          <w:p w:rsidR="00177331" w:rsidRPr="002A6741" w:rsidRDefault="00177331" w:rsidP="00334FAC">
            <w:r w:rsidRPr="002A6741">
              <w:t>kiti teritorijų planavimo dokumentuose nustatyti reikalavimai (bendruosiuose, specialiuosiuose planuose)</w:t>
            </w:r>
          </w:p>
        </w:tc>
        <w:tc>
          <w:tcPr>
            <w:tcW w:w="5529" w:type="dxa"/>
            <w:vAlign w:val="center"/>
          </w:tcPr>
          <w:p w:rsidR="00177331" w:rsidRPr="002A6741" w:rsidRDefault="00A46278" w:rsidP="008C1415">
            <w:pPr>
              <w:jc w:val="both"/>
            </w:pPr>
            <w:r w:rsidRPr="002A6741">
              <w:rPr>
                <w:color w:val="000000" w:themeColor="text1"/>
              </w:rPr>
              <w:t xml:space="preserve">Vadovautis </w:t>
            </w:r>
            <w:r w:rsidR="003E7956" w:rsidRPr="002A6741">
              <w:t xml:space="preserve">Vilniaus m. savivaldybės teritorijos </w:t>
            </w:r>
            <w:r w:rsidR="002A6741" w:rsidRPr="002A6741">
              <w:t>b</w:t>
            </w:r>
            <w:r w:rsidR="003E7956" w:rsidRPr="002A6741">
              <w:t xml:space="preserve">endrojo plano (TPDR </w:t>
            </w:r>
            <w:proofErr w:type="spellStart"/>
            <w:r w:rsidR="002A6741">
              <w:t>r</w:t>
            </w:r>
            <w:r w:rsidR="003E7956" w:rsidRPr="002A6741">
              <w:t>eg</w:t>
            </w:r>
            <w:proofErr w:type="spellEnd"/>
            <w:r w:rsidR="003E7956" w:rsidRPr="002A6741">
              <w:t>. Nr. T00056038) sprendiniais.</w:t>
            </w:r>
          </w:p>
        </w:tc>
      </w:tr>
      <w:tr w:rsidR="00177331" w:rsidRPr="00D01848" w:rsidTr="00611A35">
        <w:trPr>
          <w:trHeight w:val="277"/>
        </w:trPr>
        <w:tc>
          <w:tcPr>
            <w:tcW w:w="648" w:type="dxa"/>
          </w:tcPr>
          <w:p w:rsidR="00177331" w:rsidRPr="00D01848" w:rsidRDefault="00177331" w:rsidP="001D78E1">
            <w:r>
              <w:t>3</w:t>
            </w:r>
            <w:r w:rsidRPr="00D01848">
              <w:t>.</w:t>
            </w:r>
            <w:r w:rsidR="001D78E1">
              <w:t>6</w:t>
            </w:r>
            <w:r w:rsidRPr="00D01848">
              <w:t>.</w:t>
            </w:r>
          </w:p>
        </w:tc>
        <w:tc>
          <w:tcPr>
            <w:tcW w:w="3888" w:type="dxa"/>
          </w:tcPr>
          <w:p w:rsidR="00177331" w:rsidRPr="00D01848" w:rsidRDefault="00177331" w:rsidP="00334FAC">
            <w:r>
              <w:t>s</w:t>
            </w:r>
            <w:r w:rsidRPr="00D01848">
              <w:t>u projekto įgyvendinimu susijusi būtina viešosios infrastruktūros plėtra</w:t>
            </w:r>
            <w:r>
              <w:t xml:space="preserve"> </w:t>
            </w:r>
          </w:p>
        </w:tc>
        <w:tc>
          <w:tcPr>
            <w:tcW w:w="5529" w:type="dxa"/>
            <w:vAlign w:val="center"/>
          </w:tcPr>
          <w:p w:rsidR="00177331" w:rsidRPr="00D01848" w:rsidRDefault="005C6D00" w:rsidP="004513A3">
            <w:pPr>
              <w:jc w:val="both"/>
            </w:pPr>
            <w:r>
              <w:t>-</w:t>
            </w:r>
          </w:p>
        </w:tc>
      </w:tr>
      <w:tr w:rsidR="00177331" w:rsidRPr="00D01848" w:rsidTr="00611A35">
        <w:trPr>
          <w:trHeight w:val="292"/>
        </w:trPr>
        <w:tc>
          <w:tcPr>
            <w:tcW w:w="648" w:type="dxa"/>
          </w:tcPr>
          <w:p w:rsidR="00177331" w:rsidRPr="00D01848" w:rsidRDefault="00177331" w:rsidP="001D78E1">
            <w:r>
              <w:t>3</w:t>
            </w:r>
            <w:r w:rsidRPr="00D01848">
              <w:t>.</w:t>
            </w:r>
            <w:r w:rsidR="001D78E1">
              <w:t>7</w:t>
            </w:r>
            <w:r w:rsidRPr="00D01848">
              <w:t>.</w:t>
            </w:r>
          </w:p>
        </w:tc>
        <w:tc>
          <w:tcPr>
            <w:tcW w:w="3888" w:type="dxa"/>
          </w:tcPr>
          <w:p w:rsidR="00177331" w:rsidRPr="00D01848" w:rsidRDefault="00177331" w:rsidP="00334FAC">
            <w:r>
              <w:t>projektinių pasiūlymų vaizdinės informacijos parengimas</w:t>
            </w:r>
          </w:p>
        </w:tc>
        <w:tc>
          <w:tcPr>
            <w:tcW w:w="5529" w:type="dxa"/>
            <w:vAlign w:val="center"/>
          </w:tcPr>
          <w:p w:rsidR="00177331" w:rsidRPr="00D01848" w:rsidRDefault="002B3395" w:rsidP="004513A3">
            <w:pPr>
              <w:jc w:val="both"/>
            </w:pPr>
            <w:r>
              <w:t>Projektinių pasiūlymų sudėtis pagal STR1.04.04:2017 „Statinio projektavimas, projekto ekspertizė“ 13 priedo reikalavimus.</w:t>
            </w:r>
            <w:r w:rsidR="008C1415">
              <w:t xml:space="preserve"> </w:t>
            </w:r>
            <w:r>
              <w:t>Projektiniai pasiūlymai viešinami STR1.04.04:2017 „Statinio projektavimas, projekto ekspertizė“ VIII skyriuje nustatyta tvarka.</w:t>
            </w:r>
          </w:p>
        </w:tc>
      </w:tr>
    </w:tbl>
    <w:p w:rsidR="00177331" w:rsidRPr="00D01848" w:rsidRDefault="00177331" w:rsidP="00177331">
      <w:pPr>
        <w:jc w:val="both"/>
        <w:rPr>
          <w:i/>
          <w:sz w:val="16"/>
          <w:szCs w:val="16"/>
          <w:u w:val="single"/>
          <w:lang w:val="lt-LT"/>
        </w:rPr>
      </w:pPr>
    </w:p>
    <w:p w:rsidR="00177331" w:rsidRDefault="00177331" w:rsidP="00177331">
      <w:pPr>
        <w:rPr>
          <w:sz w:val="20"/>
          <w:szCs w:val="20"/>
          <w:lang w:val="lt-LT"/>
        </w:rPr>
      </w:pPr>
    </w:p>
    <w:p w:rsidR="00177331" w:rsidRPr="00D64C42" w:rsidRDefault="00177331" w:rsidP="00177331">
      <w:pPr>
        <w:rPr>
          <w:sz w:val="20"/>
          <w:szCs w:val="20"/>
        </w:rPr>
      </w:pPr>
      <w:r>
        <w:rPr>
          <w:sz w:val="20"/>
          <w:szCs w:val="20"/>
          <w:lang w:val="lt-LT"/>
        </w:rPr>
        <w:t xml:space="preserve">Ramunė Butvilienė, </w:t>
      </w:r>
      <w:hyperlink r:id="rId7" w:history="1">
        <w:r w:rsidRPr="0013434D">
          <w:rPr>
            <w:rStyle w:val="Hipersaitas"/>
            <w:sz w:val="20"/>
            <w:szCs w:val="20"/>
            <w:lang w:val="lt-LT"/>
          </w:rPr>
          <w:t>ramune.butviliene</w:t>
        </w:r>
        <w:r w:rsidRPr="0013434D">
          <w:rPr>
            <w:rStyle w:val="Hipersaitas"/>
            <w:sz w:val="20"/>
            <w:szCs w:val="20"/>
          </w:rPr>
          <w:t>@</w:t>
        </w:r>
        <w:proofErr w:type="spellStart"/>
        <w:r w:rsidRPr="0013434D">
          <w:rPr>
            <w:rStyle w:val="Hipersaitas"/>
            <w:sz w:val="20"/>
            <w:szCs w:val="20"/>
          </w:rPr>
          <w:t>vilnius.lt</w:t>
        </w:r>
        <w:proofErr w:type="spellEnd"/>
      </w:hyperlink>
    </w:p>
    <w:p w:rsidR="00177331" w:rsidRPr="005F2EA9" w:rsidRDefault="00177331" w:rsidP="00177331">
      <w:pPr>
        <w:jc w:val="both"/>
        <w:rPr>
          <w:sz w:val="16"/>
          <w:szCs w:val="16"/>
          <w:lang w:val="lt-LT"/>
        </w:rPr>
      </w:pPr>
      <w:r w:rsidRPr="00414EC1">
        <w:rPr>
          <w:sz w:val="16"/>
          <w:szCs w:val="16"/>
          <w:lang w:val="lt-LT"/>
        </w:rPr>
        <w:t>Lietuvos Respublikos viešojo administravimo įstatym</w:t>
      </w:r>
      <w:r>
        <w:rPr>
          <w:sz w:val="16"/>
          <w:szCs w:val="16"/>
          <w:lang w:val="lt-LT"/>
        </w:rPr>
        <w:t>o 36 straipsnis: a</w:t>
      </w:r>
      <w:r w:rsidRPr="00414EC1">
        <w:rPr>
          <w:sz w:val="16"/>
          <w:szCs w:val="16"/>
          <w:lang w:val="lt-LT"/>
        </w:rPr>
        <w:t>smuo turi teisę apskųsti viešojo administravimo subjekto priimtą administracinės procedūros sprendimą savo pasirinkimu administracinių ginčų komisijai arba administraciniam teismui įstatymų nustatyta tvarka.</w:t>
      </w:r>
      <w:r>
        <w:rPr>
          <w:sz w:val="16"/>
          <w:szCs w:val="16"/>
          <w:lang w:val="lt-LT"/>
        </w:rPr>
        <w:t xml:space="preserve"> </w:t>
      </w:r>
    </w:p>
    <w:p w:rsidR="0006048D" w:rsidRDefault="0006048D"/>
    <w:p w:rsidR="00A46278" w:rsidRPr="00A46278" w:rsidRDefault="00A46278" w:rsidP="00A46278"/>
    <w:p w:rsidR="00A46278" w:rsidRPr="00A46278" w:rsidRDefault="00A46278" w:rsidP="00A46278"/>
    <w:p w:rsidR="00A46278" w:rsidRPr="00A46278" w:rsidRDefault="00A46278" w:rsidP="00A46278"/>
    <w:p w:rsidR="00A46278" w:rsidRPr="00A46278" w:rsidRDefault="00A46278" w:rsidP="00A46278"/>
    <w:p w:rsidR="00A46278" w:rsidRPr="00A46278" w:rsidRDefault="00A46278" w:rsidP="00A46278"/>
    <w:p w:rsidR="00A46278" w:rsidRPr="00A46278" w:rsidRDefault="00A46278" w:rsidP="00A46278"/>
    <w:p w:rsidR="00A46278" w:rsidRPr="00A46278" w:rsidRDefault="00A46278" w:rsidP="00A46278"/>
    <w:sectPr w:rsidR="00A46278" w:rsidRPr="00A46278" w:rsidSect="00A03DA5">
      <w:pgSz w:w="11906" w:h="16838" w:code="9"/>
      <w:pgMar w:top="426" w:right="474" w:bottom="113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C73882"/>
    <w:multiLevelType w:val="hybridMultilevel"/>
    <w:tmpl w:val="6270FC4E"/>
    <w:lvl w:ilvl="0" w:tplc="F352127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331"/>
    <w:rsid w:val="00036D54"/>
    <w:rsid w:val="00041AA2"/>
    <w:rsid w:val="0006048D"/>
    <w:rsid w:val="00061CAE"/>
    <w:rsid w:val="00066B33"/>
    <w:rsid w:val="00070F10"/>
    <w:rsid w:val="000A5230"/>
    <w:rsid w:val="000E2215"/>
    <w:rsid w:val="000F1208"/>
    <w:rsid w:val="00170C5F"/>
    <w:rsid w:val="00175ED8"/>
    <w:rsid w:val="00177331"/>
    <w:rsid w:val="001C35E7"/>
    <w:rsid w:val="001D78E1"/>
    <w:rsid w:val="00201076"/>
    <w:rsid w:val="002273CC"/>
    <w:rsid w:val="0025198A"/>
    <w:rsid w:val="002735EA"/>
    <w:rsid w:val="0027734D"/>
    <w:rsid w:val="002A6741"/>
    <w:rsid w:val="002B3395"/>
    <w:rsid w:val="002B60B2"/>
    <w:rsid w:val="002C750C"/>
    <w:rsid w:val="002D53CC"/>
    <w:rsid w:val="003404EF"/>
    <w:rsid w:val="00375472"/>
    <w:rsid w:val="00383435"/>
    <w:rsid w:val="003C6F2F"/>
    <w:rsid w:val="003D6534"/>
    <w:rsid w:val="003E7956"/>
    <w:rsid w:val="004041F9"/>
    <w:rsid w:val="004048EF"/>
    <w:rsid w:val="00411FE9"/>
    <w:rsid w:val="004513A3"/>
    <w:rsid w:val="004B5C00"/>
    <w:rsid w:val="004F20AD"/>
    <w:rsid w:val="005002E2"/>
    <w:rsid w:val="00514A43"/>
    <w:rsid w:val="00554B52"/>
    <w:rsid w:val="005862C9"/>
    <w:rsid w:val="005A50B3"/>
    <w:rsid w:val="005C6D00"/>
    <w:rsid w:val="005F10CA"/>
    <w:rsid w:val="00602D42"/>
    <w:rsid w:val="00611A35"/>
    <w:rsid w:val="00620703"/>
    <w:rsid w:val="006B2C2B"/>
    <w:rsid w:val="006C665D"/>
    <w:rsid w:val="0071507B"/>
    <w:rsid w:val="0073674E"/>
    <w:rsid w:val="00762665"/>
    <w:rsid w:val="007961FC"/>
    <w:rsid w:val="007C20C5"/>
    <w:rsid w:val="007C5EC9"/>
    <w:rsid w:val="007D4CA1"/>
    <w:rsid w:val="007D6B36"/>
    <w:rsid w:val="008264C9"/>
    <w:rsid w:val="0088569F"/>
    <w:rsid w:val="0089454E"/>
    <w:rsid w:val="008C1415"/>
    <w:rsid w:val="008C3586"/>
    <w:rsid w:val="00922DFE"/>
    <w:rsid w:val="00927EA6"/>
    <w:rsid w:val="00960419"/>
    <w:rsid w:val="00A057F9"/>
    <w:rsid w:val="00A248DC"/>
    <w:rsid w:val="00A344B7"/>
    <w:rsid w:val="00A46278"/>
    <w:rsid w:val="00A71F24"/>
    <w:rsid w:val="00B05894"/>
    <w:rsid w:val="00B32E2E"/>
    <w:rsid w:val="00B76CC8"/>
    <w:rsid w:val="00B83776"/>
    <w:rsid w:val="00B852A4"/>
    <w:rsid w:val="00BB01AF"/>
    <w:rsid w:val="00C16D5A"/>
    <w:rsid w:val="00C230E0"/>
    <w:rsid w:val="00C2310E"/>
    <w:rsid w:val="00C54E4B"/>
    <w:rsid w:val="00CA3295"/>
    <w:rsid w:val="00CA6272"/>
    <w:rsid w:val="00CE7B52"/>
    <w:rsid w:val="00CF57C1"/>
    <w:rsid w:val="00D04922"/>
    <w:rsid w:val="00D14CCF"/>
    <w:rsid w:val="00D2396F"/>
    <w:rsid w:val="00D24D2B"/>
    <w:rsid w:val="00D368F2"/>
    <w:rsid w:val="00D50CF3"/>
    <w:rsid w:val="00D64C42"/>
    <w:rsid w:val="00DB774A"/>
    <w:rsid w:val="00DD22C3"/>
    <w:rsid w:val="00DE124A"/>
    <w:rsid w:val="00E02121"/>
    <w:rsid w:val="00E67977"/>
    <w:rsid w:val="00E73535"/>
    <w:rsid w:val="00E77535"/>
    <w:rsid w:val="00E83BD5"/>
    <w:rsid w:val="00E85BA0"/>
    <w:rsid w:val="00E94645"/>
    <w:rsid w:val="00EA6684"/>
    <w:rsid w:val="00F048F8"/>
    <w:rsid w:val="00F35ED2"/>
    <w:rsid w:val="00F504FA"/>
    <w:rsid w:val="00F710C9"/>
    <w:rsid w:val="00F96A1D"/>
    <w:rsid w:val="00FA310E"/>
    <w:rsid w:val="00FB3938"/>
    <w:rsid w:val="00FB4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003496-1B80-4575-9BE5-B4B5480D8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prastasis">
    <w:name w:val="Normal"/>
    <w:qFormat/>
    <w:rsid w:val="001773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7961FC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7961FC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7961FC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7961FC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Antrat5">
    <w:name w:val="heading 5"/>
    <w:basedOn w:val="prastasis"/>
    <w:next w:val="prastasis"/>
    <w:link w:val="Antrat5Diagrama"/>
    <w:uiPriority w:val="9"/>
    <w:unhideWhenUsed/>
    <w:qFormat/>
    <w:rsid w:val="007961FC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7961FC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7961FC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7961FC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7961FC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7961FC"/>
    <w:rPr>
      <w:caps/>
      <w:color w:val="632423" w:themeColor="accent2" w:themeShade="80"/>
      <w:spacing w:val="20"/>
      <w:sz w:val="28"/>
      <w:szCs w:val="28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7961FC"/>
    <w:rPr>
      <w:caps/>
      <w:color w:val="632423" w:themeColor="accent2" w:themeShade="80"/>
      <w:spacing w:val="15"/>
      <w:sz w:val="24"/>
      <w:szCs w:val="24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7961FC"/>
    <w:rPr>
      <w:rFonts w:eastAsiaTheme="majorEastAsia" w:cstheme="majorBidi"/>
      <w:caps/>
      <w:color w:val="622423" w:themeColor="accent2" w:themeShade="7F"/>
      <w:sz w:val="24"/>
      <w:szCs w:val="24"/>
    </w:rPr>
  </w:style>
  <w:style w:type="character" w:customStyle="1" w:styleId="Antrat4Diagrama">
    <w:name w:val="Antraštė 4 Diagrama"/>
    <w:basedOn w:val="Numatytasispastraiposriftas"/>
    <w:link w:val="Antrat4"/>
    <w:uiPriority w:val="9"/>
    <w:rsid w:val="007961FC"/>
    <w:rPr>
      <w:caps/>
      <w:color w:val="622423" w:themeColor="accent2" w:themeShade="7F"/>
      <w:spacing w:val="10"/>
    </w:rPr>
  </w:style>
  <w:style w:type="character" w:customStyle="1" w:styleId="Antrat5Diagrama">
    <w:name w:val="Antraštė 5 Diagrama"/>
    <w:basedOn w:val="Numatytasispastraiposriftas"/>
    <w:link w:val="Antrat5"/>
    <w:uiPriority w:val="9"/>
    <w:rsid w:val="007961FC"/>
    <w:rPr>
      <w:caps/>
      <w:color w:val="622423" w:themeColor="accent2" w:themeShade="7F"/>
      <w:spacing w:val="10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7961FC"/>
    <w:rPr>
      <w:rFonts w:eastAsiaTheme="majorEastAsia" w:cstheme="majorBidi"/>
      <w:caps/>
      <w:color w:val="943634" w:themeColor="accent2" w:themeShade="BF"/>
      <w:spacing w:val="10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7961FC"/>
    <w:rPr>
      <w:rFonts w:eastAsiaTheme="majorEastAsia" w:cstheme="majorBidi"/>
      <w:i/>
      <w:iCs/>
      <w:caps/>
      <w:color w:val="943634" w:themeColor="accent2" w:themeShade="BF"/>
      <w:spacing w:val="10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7961FC"/>
    <w:rPr>
      <w:rFonts w:eastAsiaTheme="majorEastAsia" w:cstheme="majorBidi"/>
      <w:caps/>
      <w:spacing w:val="10"/>
      <w:sz w:val="20"/>
      <w:szCs w:val="20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7961FC"/>
    <w:rPr>
      <w:rFonts w:eastAsiaTheme="majorEastAsia" w:cstheme="majorBidi"/>
      <w:i/>
      <w:iCs/>
      <w:caps/>
      <w:spacing w:val="10"/>
      <w:sz w:val="20"/>
      <w:szCs w:val="20"/>
    </w:rPr>
  </w:style>
  <w:style w:type="paragraph" w:styleId="Antrat">
    <w:name w:val="caption"/>
    <w:basedOn w:val="prastasis"/>
    <w:next w:val="prastasis"/>
    <w:uiPriority w:val="35"/>
    <w:unhideWhenUsed/>
    <w:qFormat/>
    <w:rsid w:val="007961FC"/>
    <w:rPr>
      <w:caps/>
      <w:spacing w:val="10"/>
      <w:sz w:val="18"/>
      <w:szCs w:val="1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7961FC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7961FC"/>
    <w:rPr>
      <w:rFonts w:eastAsiaTheme="majorEastAsia" w:cstheme="majorBidi"/>
      <w:caps/>
      <w:color w:val="632423" w:themeColor="accent2" w:themeShade="80"/>
      <w:spacing w:val="50"/>
      <w:sz w:val="44"/>
      <w:szCs w:val="44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7961FC"/>
    <w:pPr>
      <w:spacing w:after="560"/>
      <w:jc w:val="center"/>
    </w:pPr>
    <w:rPr>
      <w:caps/>
      <w:spacing w:val="20"/>
      <w:sz w:val="18"/>
      <w:szCs w:val="1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7961FC"/>
    <w:rPr>
      <w:caps/>
      <w:spacing w:val="20"/>
      <w:sz w:val="18"/>
      <w:szCs w:val="18"/>
    </w:rPr>
  </w:style>
  <w:style w:type="character" w:styleId="Grietas">
    <w:name w:val="Strong"/>
    <w:uiPriority w:val="22"/>
    <w:qFormat/>
    <w:rsid w:val="007961FC"/>
    <w:rPr>
      <w:b/>
      <w:bCs/>
      <w:color w:val="943634" w:themeColor="accent2" w:themeShade="BF"/>
      <w:spacing w:val="5"/>
    </w:rPr>
  </w:style>
  <w:style w:type="character" w:styleId="Emfaz">
    <w:name w:val="Emphasis"/>
    <w:uiPriority w:val="20"/>
    <w:qFormat/>
    <w:rsid w:val="007961FC"/>
    <w:rPr>
      <w:caps/>
      <w:spacing w:val="5"/>
      <w:sz w:val="20"/>
      <w:szCs w:val="20"/>
    </w:rPr>
  </w:style>
  <w:style w:type="paragraph" w:styleId="Betarp">
    <w:name w:val="No Spacing"/>
    <w:basedOn w:val="prastasis"/>
    <w:link w:val="BetarpDiagrama"/>
    <w:uiPriority w:val="1"/>
    <w:qFormat/>
    <w:rsid w:val="007961FC"/>
  </w:style>
  <w:style w:type="character" w:customStyle="1" w:styleId="BetarpDiagrama">
    <w:name w:val="Be tarpų Diagrama"/>
    <w:basedOn w:val="Numatytasispastraiposriftas"/>
    <w:link w:val="Betarp"/>
    <w:uiPriority w:val="1"/>
    <w:rsid w:val="007961FC"/>
  </w:style>
  <w:style w:type="paragraph" w:styleId="Sraopastraipa">
    <w:name w:val="List Paragraph"/>
    <w:basedOn w:val="prastasis"/>
    <w:uiPriority w:val="34"/>
    <w:qFormat/>
    <w:rsid w:val="007961FC"/>
    <w:pPr>
      <w:ind w:left="720"/>
      <w:contextualSpacing/>
    </w:pPr>
  </w:style>
  <w:style w:type="paragraph" w:styleId="Citata">
    <w:name w:val="Quote"/>
    <w:basedOn w:val="prastasis"/>
    <w:next w:val="prastasis"/>
    <w:link w:val="CitataDiagrama"/>
    <w:uiPriority w:val="29"/>
    <w:qFormat/>
    <w:rsid w:val="007961FC"/>
    <w:rPr>
      <w:i/>
      <w:iCs/>
    </w:rPr>
  </w:style>
  <w:style w:type="character" w:customStyle="1" w:styleId="CitataDiagrama">
    <w:name w:val="Citata Diagrama"/>
    <w:basedOn w:val="Numatytasispastraiposriftas"/>
    <w:link w:val="Citata"/>
    <w:uiPriority w:val="29"/>
    <w:rsid w:val="007961FC"/>
    <w:rPr>
      <w:rFonts w:eastAsiaTheme="majorEastAsia" w:cstheme="majorBidi"/>
      <w:i/>
      <w:iCs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7961FC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7961FC"/>
    <w:rPr>
      <w:rFonts w:eastAsiaTheme="majorEastAsia" w:cstheme="majorBidi"/>
      <w:caps/>
      <w:color w:val="622423" w:themeColor="accent2" w:themeShade="7F"/>
      <w:spacing w:val="5"/>
      <w:sz w:val="20"/>
      <w:szCs w:val="20"/>
    </w:rPr>
  </w:style>
  <w:style w:type="character" w:styleId="Nerykuspabraukimas">
    <w:name w:val="Subtle Emphasis"/>
    <w:uiPriority w:val="19"/>
    <w:qFormat/>
    <w:rsid w:val="007961FC"/>
    <w:rPr>
      <w:i/>
      <w:iCs/>
    </w:rPr>
  </w:style>
  <w:style w:type="character" w:styleId="Rykuspabraukimas">
    <w:name w:val="Intense Emphasis"/>
    <w:uiPriority w:val="21"/>
    <w:qFormat/>
    <w:rsid w:val="007961FC"/>
    <w:rPr>
      <w:i/>
      <w:iCs/>
      <w:caps/>
      <w:spacing w:val="10"/>
      <w:sz w:val="20"/>
      <w:szCs w:val="20"/>
    </w:rPr>
  </w:style>
  <w:style w:type="character" w:styleId="Nerykinuoroda">
    <w:name w:val="Subtle Reference"/>
    <w:basedOn w:val="Numatytasispastraiposriftas"/>
    <w:uiPriority w:val="31"/>
    <w:qFormat/>
    <w:rsid w:val="007961FC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Rykinuoroda">
    <w:name w:val="Intense Reference"/>
    <w:uiPriority w:val="32"/>
    <w:qFormat/>
    <w:rsid w:val="007961FC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Knygospavadinimas">
    <w:name w:val="Book Title"/>
    <w:uiPriority w:val="33"/>
    <w:qFormat/>
    <w:rsid w:val="007961FC"/>
    <w:rPr>
      <w:caps/>
      <w:color w:val="622423" w:themeColor="accent2" w:themeShade="7F"/>
      <w:spacing w:val="5"/>
      <w:u w:color="622423" w:themeColor="accent2" w:themeShade="7F"/>
    </w:rPr>
  </w:style>
  <w:style w:type="paragraph" w:styleId="Turinioantrat">
    <w:name w:val="TOC Heading"/>
    <w:basedOn w:val="Antrat1"/>
    <w:next w:val="prastasis"/>
    <w:uiPriority w:val="39"/>
    <w:semiHidden/>
    <w:unhideWhenUsed/>
    <w:qFormat/>
    <w:rsid w:val="007961FC"/>
    <w:pPr>
      <w:outlineLvl w:val="9"/>
    </w:pPr>
  </w:style>
  <w:style w:type="table" w:styleId="Lentelstinklelis">
    <w:name w:val="Table Grid"/>
    <w:basedOn w:val="prastojilentel"/>
    <w:uiPriority w:val="59"/>
    <w:rsid w:val="00177331"/>
    <w:pPr>
      <w:spacing w:after="0" w:line="240" w:lineRule="auto"/>
    </w:pPr>
    <w:rPr>
      <w:rFonts w:asciiTheme="minorHAnsi" w:hAnsiTheme="minorHAnsi" w:cstheme="minorBidi"/>
      <w:lang w:val="lt-LT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177331"/>
    <w:rPr>
      <w:color w:val="0000FF" w:themeColor="hyperlink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7733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77331"/>
    <w:rPr>
      <w:rFonts w:ascii="Tahoma" w:eastAsia="Times New Roman" w:hAnsi="Tahoma" w:cs="Tahoma"/>
      <w:sz w:val="16"/>
      <w:szCs w:val="1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ramune.butviliene@vilnius.l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7B8261-EC3B-4A78-A4A2-62CB6ECA2F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2344</Words>
  <Characters>1337</Characters>
  <Application>Microsoft Office Word</Application>
  <DocSecurity>0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Ramune</dc:creator>
  <cp:lastModifiedBy>Marius Miškinis</cp:lastModifiedBy>
  <cp:revision>2</cp:revision>
  <dcterms:created xsi:type="dcterms:W3CDTF">2020-06-15T11:55:00Z</dcterms:created>
  <dcterms:modified xsi:type="dcterms:W3CDTF">2020-06-15T11:55:00Z</dcterms:modified>
</cp:coreProperties>
</file>