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4E183F23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</w:p>
    <w:p w14:paraId="6E0DF944" w14:textId="5C54FFC7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</w:t>
      </w:r>
      <w:r w:rsidR="00682A8E">
        <w:t>3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2CFB2349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 xml:space="preserve">DOKUMENTUI </w:t>
      </w:r>
      <w:r w:rsidR="006D144B">
        <w:rPr>
          <w:b/>
          <w:bCs/>
        </w:rPr>
        <w:t>KEISTI</w:t>
      </w:r>
    </w:p>
    <w:p w14:paraId="202DCD48" w14:textId="77777777" w:rsidR="00F0074B" w:rsidRPr="00427905" w:rsidRDefault="00F0074B" w:rsidP="00F0074B">
      <w:pPr>
        <w:jc w:val="center"/>
      </w:pPr>
    </w:p>
    <w:p w14:paraId="23254361" w14:textId="0483DC1A" w:rsidR="0073564E" w:rsidRDefault="00F0074B" w:rsidP="00E06DB5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682A8E">
        <w:t>teritorija prie Sietyno gatvės.</w:t>
      </w:r>
    </w:p>
    <w:p w14:paraId="5A0E5C13" w14:textId="5BD7FA27" w:rsidR="007348E9" w:rsidRDefault="0073564E" w:rsidP="007348E9">
      <w:pPr>
        <w:jc w:val="both"/>
      </w:pPr>
      <w:r w:rsidRPr="0073564E">
        <w:rPr>
          <w:b/>
          <w:bCs/>
        </w:rPr>
        <w:t>2.</w:t>
      </w:r>
      <w:r w:rsidR="00EF396C">
        <w:rPr>
          <w:b/>
          <w:bCs/>
        </w:rPr>
        <w:t xml:space="preserve"> </w:t>
      </w:r>
      <w:r w:rsidRPr="0073564E">
        <w:rPr>
          <w:b/>
          <w:bCs/>
        </w:rPr>
        <w:t>Planuojama teritorija:</w:t>
      </w:r>
      <w:r>
        <w:t xml:space="preserve"> p</w:t>
      </w:r>
      <w:bookmarkStart w:id="0" w:name="_Hlk98238686"/>
      <w:r w:rsidR="00771958">
        <w:t>lanuojama teritorija apima kvartalą tarp Sietyno gatvės, privažiavimo kelio ir miško</w:t>
      </w:r>
      <w:r w:rsidR="002E3CB0">
        <w:t xml:space="preserve"> </w:t>
      </w:r>
      <w:r w:rsidR="002E3CB0" w:rsidRPr="002E3CB0">
        <w:t>(pagal pridedamą miesto plano ištrauką</w:t>
      </w:r>
      <w:r w:rsidR="002E3CB0">
        <w:t>).</w:t>
      </w:r>
    </w:p>
    <w:bookmarkEnd w:id="0"/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52B4E284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A033D0">
        <w:rPr>
          <w:bCs/>
        </w:rPr>
        <w:t xml:space="preserve">juridinis </w:t>
      </w:r>
      <w:r w:rsidR="00F14817">
        <w:rPr>
          <w:bCs/>
        </w:rPr>
        <w:t>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50B37535" w:rsidR="00935B52" w:rsidRDefault="00AA79DD" w:rsidP="00E06DB5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E06DB5" w:rsidRPr="00E06DB5">
        <w:t xml:space="preserve"> </w:t>
      </w:r>
      <w:r w:rsidR="00682A8E" w:rsidRPr="00682A8E">
        <w:t>nustatyti žemės sklypų paskirtį, žemės naudojimo būdus ir kitus teritorijos naudojimo reglamentus vadovaujantis Bendrojo plano sprendiniais, padalyti žemės sklypus, suplanuoti reikalingą susisiekimo ir inžinerinę infrastruktūrą; esant poreikiui nustatyti žemės sklypų formavimo ir pertvarkymo pricipus; formuoti žemės sklypus laisvoje valstybinėje žemėje  (pagal pridedamą miesto plano ištrauką).</w:t>
      </w:r>
    </w:p>
    <w:p w14:paraId="4114E0B1" w14:textId="18BE2981" w:rsidR="00E97041" w:rsidRDefault="00E97041" w:rsidP="00E97041">
      <w:pPr>
        <w:jc w:val="both"/>
      </w:pPr>
      <w:r w:rsidRPr="00E97041">
        <w:rPr>
          <w:b/>
          <w:bCs/>
        </w:rPr>
        <w:t>7. Papildomi planavimo uždaviniai</w:t>
      </w:r>
      <w:r>
        <w:t>: numatyti funkcinius bei kompozicinius ryšius su gretimomis teritorijomis</w:t>
      </w:r>
      <w:r w:rsidR="000B7ABF">
        <w:t>.</w:t>
      </w:r>
    </w:p>
    <w:p w14:paraId="32FE8931" w14:textId="222F07FD" w:rsidR="00E97041" w:rsidRPr="00F230D8" w:rsidRDefault="00E97041" w:rsidP="00E97041">
      <w:pPr>
        <w:jc w:val="both"/>
      </w:pPr>
      <w:r>
        <w:rPr>
          <w:b/>
          <w:bCs/>
        </w:rPr>
        <w:t>8</w:t>
      </w:r>
      <w:r w:rsidRPr="00E97041">
        <w:rPr>
          <w:b/>
          <w:bCs/>
        </w:rPr>
        <w:t>. Papildomi reglamentai:</w:t>
      </w:r>
      <w:r>
        <w:t xml:space="preserve"> formuo</w:t>
      </w:r>
      <w:r w:rsidR="00E06DB5">
        <w:t>ti</w:t>
      </w:r>
      <w:r>
        <w:t xml:space="preserve"> urbanistinę struktūrą, numatyti poilsio, sporto, </w:t>
      </w:r>
      <w:r w:rsidRPr="00E97041">
        <w:t xml:space="preserve">automobilių stovėjimo aikštelių </w:t>
      </w:r>
      <w:r>
        <w:t>išdėstymą.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3327C1A0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AF62DEB" w14:textId="251979CE" w:rsidR="00AB3CC2" w:rsidRPr="00497221" w:rsidRDefault="00AA79DD" w:rsidP="00497221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2FA31A9C" w14:textId="4F118715" w:rsidR="000D4B69" w:rsidRDefault="000D4B69" w:rsidP="00D2624D">
      <w:pPr>
        <w:tabs>
          <w:tab w:val="left" w:pos="7560"/>
        </w:tabs>
        <w:jc w:val="both"/>
        <w:rPr>
          <w:iCs/>
        </w:rPr>
      </w:pPr>
      <w:bookmarkStart w:id="1" w:name="_Hlk92958223"/>
      <w:bookmarkEnd w:id="1"/>
    </w:p>
    <w:sectPr w:rsidR="000D4B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 w16cid:durableId="2512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B"/>
    <w:rsid w:val="000407B2"/>
    <w:rsid w:val="00096653"/>
    <w:rsid w:val="00097E40"/>
    <w:rsid w:val="000B3AC0"/>
    <w:rsid w:val="000B7ABF"/>
    <w:rsid w:val="000D4B69"/>
    <w:rsid w:val="001144EB"/>
    <w:rsid w:val="0014618B"/>
    <w:rsid w:val="0016298F"/>
    <w:rsid w:val="00167DB4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2E3CB0"/>
    <w:rsid w:val="002E65A1"/>
    <w:rsid w:val="002F0612"/>
    <w:rsid w:val="003A161C"/>
    <w:rsid w:val="003A711B"/>
    <w:rsid w:val="003D5465"/>
    <w:rsid w:val="003D577B"/>
    <w:rsid w:val="003D6437"/>
    <w:rsid w:val="003E24AE"/>
    <w:rsid w:val="0041502A"/>
    <w:rsid w:val="00421BA2"/>
    <w:rsid w:val="004274F5"/>
    <w:rsid w:val="0044288E"/>
    <w:rsid w:val="00497221"/>
    <w:rsid w:val="004E7C6E"/>
    <w:rsid w:val="00564FC3"/>
    <w:rsid w:val="005A02CA"/>
    <w:rsid w:val="005A0C82"/>
    <w:rsid w:val="005A7500"/>
    <w:rsid w:val="0060530F"/>
    <w:rsid w:val="00682A8E"/>
    <w:rsid w:val="006D0B83"/>
    <w:rsid w:val="006D144B"/>
    <w:rsid w:val="006E33DD"/>
    <w:rsid w:val="006F5894"/>
    <w:rsid w:val="007219FF"/>
    <w:rsid w:val="00732B7E"/>
    <w:rsid w:val="007348E9"/>
    <w:rsid w:val="0073564E"/>
    <w:rsid w:val="00741C18"/>
    <w:rsid w:val="00771958"/>
    <w:rsid w:val="00782125"/>
    <w:rsid w:val="0078630F"/>
    <w:rsid w:val="007A0DC7"/>
    <w:rsid w:val="007C13B2"/>
    <w:rsid w:val="008001F3"/>
    <w:rsid w:val="0083283D"/>
    <w:rsid w:val="0085413D"/>
    <w:rsid w:val="00857DA7"/>
    <w:rsid w:val="00857E29"/>
    <w:rsid w:val="00873BAB"/>
    <w:rsid w:val="00887264"/>
    <w:rsid w:val="00891587"/>
    <w:rsid w:val="00894E11"/>
    <w:rsid w:val="00896AB1"/>
    <w:rsid w:val="008E2A61"/>
    <w:rsid w:val="00905692"/>
    <w:rsid w:val="00935B52"/>
    <w:rsid w:val="009D768E"/>
    <w:rsid w:val="00A033D0"/>
    <w:rsid w:val="00A113B3"/>
    <w:rsid w:val="00A2202E"/>
    <w:rsid w:val="00AA5A38"/>
    <w:rsid w:val="00AA79DD"/>
    <w:rsid w:val="00AB2E2A"/>
    <w:rsid w:val="00AB3CC2"/>
    <w:rsid w:val="00AC2FD4"/>
    <w:rsid w:val="00AD6386"/>
    <w:rsid w:val="00AE3C19"/>
    <w:rsid w:val="00AE5C51"/>
    <w:rsid w:val="00B0408B"/>
    <w:rsid w:val="00B22B32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8749F"/>
    <w:rsid w:val="00DD6BCA"/>
    <w:rsid w:val="00DF1F76"/>
    <w:rsid w:val="00E06DB5"/>
    <w:rsid w:val="00E305DC"/>
    <w:rsid w:val="00E60832"/>
    <w:rsid w:val="00E871D7"/>
    <w:rsid w:val="00E87B55"/>
    <w:rsid w:val="00E97041"/>
    <w:rsid w:val="00E977CA"/>
    <w:rsid w:val="00EC6BE7"/>
    <w:rsid w:val="00ED2E00"/>
    <w:rsid w:val="00EF3259"/>
    <w:rsid w:val="00EF396C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1709</Words>
  <Characters>975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2023-07-17T10:38:00Z</dcterms:created>
  <dcterms:modified xsi:type="dcterms:W3CDTF">2023-07-17T10:38:00Z</dcterms:modified>
</cp:coreProperties>
</file>