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22F8" w14:textId="77777777" w:rsidR="002D6B51" w:rsidRDefault="000A7BFE">
      <w:pPr>
        <w:jc w:val="center"/>
        <w:rPr>
          <w:b/>
          <w:color w:val="000000"/>
        </w:rPr>
      </w:pPr>
      <w:r>
        <w:rPr>
          <w:b/>
          <w:color w:val="000000"/>
        </w:rPr>
        <w:t xml:space="preserve">VILNIAUS MIESTO SAVIVALDYBĖS TARYBOS </w:t>
      </w:r>
    </w:p>
    <w:p w14:paraId="6E047828" w14:textId="77777777" w:rsidR="002D6B51" w:rsidRDefault="000A7BFE">
      <w:pPr>
        <w:jc w:val="center"/>
        <w:rPr>
          <w:b/>
          <w:color w:val="000000"/>
        </w:rPr>
      </w:pPr>
      <w:r>
        <w:rPr>
          <w:b/>
          <w:color w:val="000000"/>
        </w:rPr>
        <w:t>PETICIJŲ KOMISIJA</w:t>
      </w:r>
    </w:p>
    <w:p w14:paraId="3C827E4F" w14:textId="77777777" w:rsidR="002D6B51" w:rsidRDefault="002D6B51">
      <w:pPr>
        <w:jc w:val="center"/>
        <w:rPr>
          <w:color w:val="000000"/>
        </w:rPr>
      </w:pPr>
    </w:p>
    <w:p w14:paraId="75346633" w14:textId="77777777" w:rsidR="002D6B51" w:rsidRDefault="000A7BFE">
      <w:pPr>
        <w:jc w:val="center"/>
        <w:rPr>
          <w:b/>
          <w:smallCaps/>
        </w:rPr>
      </w:pPr>
      <w:r>
        <w:rPr>
          <w:b/>
          <w:smallCaps/>
        </w:rPr>
        <w:t>POSĖDŽIO PROTOKOLAS</w:t>
      </w:r>
    </w:p>
    <w:p w14:paraId="7641B9FF" w14:textId="77777777" w:rsidR="002D6B51" w:rsidRDefault="002D6B51">
      <w:pPr>
        <w:jc w:val="center"/>
        <w:rPr>
          <w:smallCaps/>
          <w:color w:val="000080"/>
        </w:rPr>
      </w:pPr>
    </w:p>
    <w:p w14:paraId="59A9A602" w14:textId="683A2945" w:rsidR="00955B9D" w:rsidRDefault="00955B9D">
      <w:pPr>
        <w:jc w:val="center"/>
        <w:rPr>
          <w:color w:val="auto"/>
          <w:lang w:eastAsia="en-US"/>
        </w:rPr>
      </w:pPr>
      <w:r w:rsidRPr="00955B9D">
        <w:rPr>
          <w:color w:val="auto"/>
          <w:lang w:eastAsia="en-US"/>
        </w:rPr>
        <w:t xml:space="preserve">2024 m. vasario </w:t>
      </w:r>
      <w:r>
        <w:rPr>
          <w:color w:val="auto"/>
          <w:lang w:eastAsia="en-US"/>
        </w:rPr>
        <w:t>20</w:t>
      </w:r>
      <w:r w:rsidRPr="00955B9D">
        <w:rPr>
          <w:color w:val="auto"/>
          <w:lang w:eastAsia="en-US"/>
        </w:rPr>
        <w:t xml:space="preserve"> d. Nr.  9-21/24(1.1.36E-TAR)</w:t>
      </w:r>
    </w:p>
    <w:p w14:paraId="7991102A" w14:textId="5ECF818B" w:rsidR="002D6B51" w:rsidRDefault="000A7BFE">
      <w:pPr>
        <w:jc w:val="center"/>
      </w:pPr>
      <w:r>
        <w:t>Vilnius</w:t>
      </w:r>
    </w:p>
    <w:p w14:paraId="4D2614CB" w14:textId="77777777" w:rsidR="002D6B51" w:rsidRDefault="002D6B51">
      <w:pPr>
        <w:jc w:val="center"/>
      </w:pPr>
    </w:p>
    <w:p w14:paraId="48F87B33" w14:textId="40EDC773" w:rsidR="002D6B51" w:rsidRDefault="000A7BFE" w:rsidP="00B53D26">
      <w:pPr>
        <w:ind w:firstLine="709"/>
        <w:jc w:val="both"/>
      </w:pPr>
      <w:r>
        <w:t xml:space="preserve">Posėdis įvyko nuotoliniu būdu per </w:t>
      </w:r>
      <w:proofErr w:type="spellStart"/>
      <w:r>
        <w:t>Teams</w:t>
      </w:r>
      <w:proofErr w:type="spellEnd"/>
      <w:r>
        <w:t xml:space="preserve"> programą </w:t>
      </w:r>
      <w:r w:rsidR="00FB3124">
        <w:t xml:space="preserve">(posėdis transliuotas </w:t>
      </w:r>
      <w:proofErr w:type="spellStart"/>
      <w:r w:rsidR="00FB3124">
        <w:t>Youtube</w:t>
      </w:r>
      <w:proofErr w:type="spellEnd"/>
      <w:r w:rsidR="00FB3124">
        <w:t xml:space="preserve"> kanalu </w:t>
      </w:r>
      <w:hyperlink r:id="rId7" w:history="1">
        <w:r w:rsidR="005607EF" w:rsidRPr="00EF0BB0">
          <w:rPr>
            <w:rStyle w:val="Hipersaitas"/>
          </w:rPr>
          <w:t>https://www.youtube.com/watch?v=jIlnFq9PVnU</w:t>
        </w:r>
      </w:hyperlink>
      <w:r w:rsidR="005607EF">
        <w:t xml:space="preserve"> </w:t>
      </w:r>
      <w:r w:rsidR="00821948">
        <w:t>)</w:t>
      </w:r>
      <w:r w:rsidR="00B53D26">
        <w:t xml:space="preserve"> </w:t>
      </w:r>
      <w:r>
        <w:t>202</w:t>
      </w:r>
      <w:r w:rsidR="00776036">
        <w:t>4</w:t>
      </w:r>
      <w:r>
        <w:t xml:space="preserve"> m. </w:t>
      </w:r>
      <w:r w:rsidR="00776036">
        <w:t>vasario 15</w:t>
      </w:r>
      <w:r w:rsidR="00BA5D12">
        <w:t xml:space="preserve"> </w:t>
      </w:r>
      <w:r>
        <w:t xml:space="preserve">d. </w:t>
      </w:r>
      <w:r w:rsidR="00B53D26">
        <w:t xml:space="preserve"> 12.00 val. – 12.</w:t>
      </w:r>
      <w:r w:rsidR="005607EF">
        <w:t>15</w:t>
      </w:r>
      <w:r w:rsidR="00B53D26">
        <w:t xml:space="preserve"> val.</w:t>
      </w:r>
      <w:r w:rsidR="00D0672A">
        <w:t>.</w:t>
      </w:r>
    </w:p>
    <w:p w14:paraId="7F9B29FE" w14:textId="77777777" w:rsidR="002D6B51" w:rsidRDefault="000A7BFE">
      <w:pPr>
        <w:tabs>
          <w:tab w:val="left" w:pos="709"/>
        </w:tabs>
        <w:jc w:val="both"/>
      </w:pPr>
      <w:bookmarkStart w:id="0" w:name="_2et92p0" w:colFirst="0" w:colLast="0"/>
      <w:bookmarkEnd w:id="0"/>
      <w:r>
        <w:tab/>
        <w:t>Posėdžio pirmininkas – Komisijos pirmininkas Mantas Benkunskas.</w:t>
      </w:r>
    </w:p>
    <w:p w14:paraId="7EA6E6A3" w14:textId="6F4591AF" w:rsidR="002D6B51" w:rsidRDefault="000A7BFE">
      <w:pPr>
        <w:ind w:firstLine="709"/>
        <w:jc w:val="both"/>
      </w:pPr>
      <w:r>
        <w:t xml:space="preserve">Posėdžio sekretorė – Tarybos sekretoriato skyriaus vyriausioji specialistė </w:t>
      </w:r>
      <w:r w:rsidR="00776036">
        <w:t>Nijolė Milašienė</w:t>
      </w:r>
      <w:r>
        <w:t>.</w:t>
      </w:r>
    </w:p>
    <w:p w14:paraId="63EAF4AC" w14:textId="2DFAED79" w:rsidR="002D6B51" w:rsidRDefault="000A7BFE">
      <w:pPr>
        <w:ind w:firstLine="709"/>
        <w:jc w:val="both"/>
      </w:pPr>
      <w:r>
        <w:t xml:space="preserve">Posėdyje dalyvavo </w:t>
      </w:r>
      <w:r w:rsidR="00821948">
        <w:t>6</w:t>
      </w:r>
      <w:r>
        <w:t xml:space="preserve"> Komisijos nariai: Mantas Benkunskas, Linas Kvedaravičius, Vita Degutienė, Nijolė Jagelavičienė, Dovydas Skarolskis</w:t>
      </w:r>
      <w:r w:rsidR="00821948">
        <w:t>,</w:t>
      </w:r>
      <w:r w:rsidR="00821948" w:rsidRPr="00821948">
        <w:t xml:space="preserve"> </w:t>
      </w:r>
      <w:r w:rsidR="00821948">
        <w:t>Kristina Ziminska.</w:t>
      </w:r>
    </w:p>
    <w:p w14:paraId="2C089899" w14:textId="77777777" w:rsidR="002D6B51" w:rsidRDefault="002D6B51">
      <w:pPr>
        <w:ind w:firstLine="397"/>
        <w:jc w:val="both"/>
        <w:rPr>
          <w:i/>
        </w:rPr>
      </w:pPr>
    </w:p>
    <w:p w14:paraId="60D2F454" w14:textId="77777777" w:rsidR="002D6B51" w:rsidRDefault="000A7BFE">
      <w:pPr>
        <w:ind w:firstLine="720"/>
        <w:jc w:val="both"/>
      </w:pPr>
      <w:r>
        <w:t>DARBOTVARKĖ:</w:t>
      </w:r>
    </w:p>
    <w:p w14:paraId="58E10381" w14:textId="31B1693D" w:rsidR="0097314E" w:rsidRDefault="000A7BFE">
      <w:pPr>
        <w:numPr>
          <w:ilvl w:val="0"/>
          <w:numId w:val="1"/>
        </w:numPr>
        <w:pBdr>
          <w:top w:val="nil"/>
          <w:left w:val="nil"/>
          <w:bottom w:val="nil"/>
          <w:right w:val="nil"/>
          <w:between w:val="nil"/>
        </w:pBdr>
        <w:jc w:val="both"/>
      </w:pPr>
      <w:r>
        <w:t xml:space="preserve">DĖL </w:t>
      </w:r>
      <w:r w:rsidR="0097314E">
        <w:t xml:space="preserve">   </w:t>
      </w:r>
      <w:r>
        <w:t>KOMISIJOS</w:t>
      </w:r>
      <w:r w:rsidR="0097314E">
        <w:t xml:space="preserve">    </w:t>
      </w:r>
      <w:r>
        <w:t xml:space="preserve"> 202</w:t>
      </w:r>
      <w:r w:rsidR="00776036">
        <w:t>4</w:t>
      </w:r>
      <w:r>
        <w:t>-</w:t>
      </w:r>
      <w:r w:rsidR="00776036">
        <w:t>02</w:t>
      </w:r>
      <w:r w:rsidR="00FB3124">
        <w:t>-1</w:t>
      </w:r>
      <w:r w:rsidR="00776036">
        <w:t>5</w:t>
      </w:r>
      <w:r>
        <w:t xml:space="preserve"> </w:t>
      </w:r>
      <w:r w:rsidR="0097314E">
        <w:t xml:space="preserve">    </w:t>
      </w:r>
      <w:r>
        <w:t xml:space="preserve">POSĖDŽIO </w:t>
      </w:r>
      <w:r w:rsidR="0097314E">
        <w:t xml:space="preserve">    </w:t>
      </w:r>
      <w:r>
        <w:t xml:space="preserve">DARBOTVARKĖS </w:t>
      </w:r>
      <w:r w:rsidR="0097314E">
        <w:t xml:space="preserve">    </w:t>
      </w:r>
      <w:r>
        <w:t>PROJEKTO</w:t>
      </w:r>
    </w:p>
    <w:p w14:paraId="17F4370D" w14:textId="25661930" w:rsidR="002D6B51" w:rsidRDefault="000A7BFE" w:rsidP="0097314E">
      <w:pPr>
        <w:pBdr>
          <w:top w:val="nil"/>
          <w:left w:val="nil"/>
          <w:bottom w:val="nil"/>
          <w:right w:val="nil"/>
          <w:between w:val="nil"/>
        </w:pBdr>
        <w:jc w:val="both"/>
      </w:pPr>
      <w:r>
        <w:t>TVIRTINIMO.</w:t>
      </w:r>
    </w:p>
    <w:p w14:paraId="41628676" w14:textId="58641520" w:rsidR="00C538E6" w:rsidRDefault="00DB277A" w:rsidP="00C538E6">
      <w:pPr>
        <w:pStyle w:val="Pagrindiniotekstotrauka"/>
        <w:ind w:firstLine="709"/>
        <w:jc w:val="both"/>
        <w:rPr>
          <w:b/>
        </w:rPr>
      </w:pPr>
      <w:r w:rsidRPr="00DB277A">
        <w:t>2.</w:t>
      </w:r>
      <w:r>
        <w:t xml:space="preserve"> </w:t>
      </w:r>
      <w:r w:rsidR="00C538E6">
        <w:t>DĖL KREIPIMOSI „DĖL AB LIETUVOS ORO UOSTŲ PARENGTŲ PERSPEKTYVINIŲ TRIUKŠMO ŽEMĖLAPIŲ, SKIRTŲ AERODROMŲ TRIUKŠMO APSAUGINĖMS ZONOMS NUSTATYTI“.</w:t>
      </w:r>
    </w:p>
    <w:p w14:paraId="208F0DD7" w14:textId="77777777" w:rsidR="002D6B51" w:rsidRDefault="002D6B51">
      <w:pPr>
        <w:pBdr>
          <w:top w:val="nil"/>
          <w:left w:val="nil"/>
          <w:bottom w:val="nil"/>
          <w:right w:val="nil"/>
          <w:between w:val="nil"/>
        </w:pBdr>
        <w:jc w:val="both"/>
        <w:rPr>
          <w:color w:val="FF0000"/>
        </w:rPr>
      </w:pPr>
    </w:p>
    <w:p w14:paraId="05073C64" w14:textId="26A08517" w:rsidR="002D6B51" w:rsidRPr="00900C57" w:rsidRDefault="000A7BFE">
      <w:pPr>
        <w:numPr>
          <w:ilvl w:val="0"/>
          <w:numId w:val="2"/>
        </w:numPr>
        <w:pBdr>
          <w:top w:val="nil"/>
          <w:left w:val="nil"/>
          <w:bottom w:val="nil"/>
          <w:right w:val="nil"/>
          <w:between w:val="nil"/>
        </w:pBdr>
        <w:jc w:val="both"/>
        <w:rPr>
          <w:color w:val="auto"/>
        </w:rPr>
      </w:pPr>
      <w:r w:rsidRPr="00900C57">
        <w:rPr>
          <w:color w:val="auto"/>
        </w:rPr>
        <w:t>SVARSTYTA. DĖL      KOMISIJOS     202</w:t>
      </w:r>
      <w:r w:rsidR="00C538E6" w:rsidRPr="00900C57">
        <w:rPr>
          <w:color w:val="auto"/>
        </w:rPr>
        <w:t>4-02-15</w:t>
      </w:r>
      <w:r w:rsidRPr="00900C57">
        <w:rPr>
          <w:color w:val="auto"/>
        </w:rPr>
        <w:t xml:space="preserve">   POSĖDŽIO     DARBOTVARKĖS    </w:t>
      </w:r>
    </w:p>
    <w:p w14:paraId="01A4810E" w14:textId="77777777" w:rsidR="002D6B51" w:rsidRPr="00900C57" w:rsidRDefault="000A7BFE">
      <w:pPr>
        <w:jc w:val="both"/>
        <w:rPr>
          <w:color w:val="auto"/>
        </w:rPr>
      </w:pPr>
      <w:r w:rsidRPr="00900C57">
        <w:rPr>
          <w:color w:val="auto"/>
        </w:rPr>
        <w:t>PROJEKTO TVIRTINIMO.</w:t>
      </w:r>
    </w:p>
    <w:p w14:paraId="10AF3CD1" w14:textId="77777777" w:rsidR="00A5075F" w:rsidRPr="00900C57" w:rsidRDefault="000A7BFE" w:rsidP="00A5075F">
      <w:pPr>
        <w:ind w:firstLine="709"/>
        <w:jc w:val="both"/>
        <w:rPr>
          <w:color w:val="auto"/>
        </w:rPr>
      </w:pPr>
      <w:r w:rsidRPr="00900C57">
        <w:rPr>
          <w:color w:val="auto"/>
        </w:rPr>
        <w:tab/>
      </w:r>
      <w:r w:rsidR="00A5075F" w:rsidRPr="00900C57">
        <w:rPr>
          <w:color w:val="auto"/>
        </w:rPr>
        <w:t>Konstatuojama, kad kvorumas yra ir pradėtas posėdžio vaizdo ir garso įrašas. Įrašas saugomas</w:t>
      </w:r>
      <w:r w:rsidR="00A5075F" w:rsidRPr="00900C57">
        <w:rPr>
          <w:color w:val="auto"/>
          <w:highlight w:val="white"/>
        </w:rPr>
        <w:t xml:space="preserve"> </w:t>
      </w:r>
      <w:r w:rsidR="00A5075F" w:rsidRPr="00900C57">
        <w:rPr>
          <w:color w:val="auto"/>
        </w:rPr>
        <w:t>Lietuvos Respublikos dokumentų ir archyvų įstatymo nustatyta tvarka informacinėse laikmenose bei skelbiami viešai Savivaldybės interneto svetainėje.</w:t>
      </w:r>
    </w:p>
    <w:p w14:paraId="1B53CBF7" w14:textId="2DBCCA36" w:rsidR="002D6B51" w:rsidRPr="00900C57" w:rsidRDefault="000A7BFE" w:rsidP="00A5075F">
      <w:pPr>
        <w:ind w:firstLine="709"/>
        <w:jc w:val="both"/>
        <w:rPr>
          <w:color w:val="auto"/>
        </w:rPr>
      </w:pPr>
      <w:r w:rsidRPr="00900C57">
        <w:rPr>
          <w:color w:val="auto"/>
        </w:rPr>
        <w:t>Posėdžio pirmininkas Mantas Benkunskas supažindina su posėdžio darbotvarke ir kviečia ją patvirtinti.</w:t>
      </w:r>
    </w:p>
    <w:p w14:paraId="78C49051" w14:textId="77777777" w:rsidR="002D6B51" w:rsidRPr="00900C57" w:rsidRDefault="000A7BFE">
      <w:pPr>
        <w:jc w:val="both"/>
        <w:rPr>
          <w:color w:val="auto"/>
        </w:rPr>
      </w:pPr>
      <w:r w:rsidRPr="00900C57">
        <w:rPr>
          <w:color w:val="auto"/>
        </w:rPr>
        <w:tab/>
        <w:t>Pritarta bendru sutarimu.</w:t>
      </w:r>
    </w:p>
    <w:p w14:paraId="27E163DC" w14:textId="04A0FBD5" w:rsidR="002D6B51" w:rsidRPr="00900C57" w:rsidRDefault="000A7BFE">
      <w:pPr>
        <w:jc w:val="both"/>
        <w:rPr>
          <w:color w:val="auto"/>
        </w:rPr>
      </w:pPr>
      <w:r w:rsidRPr="00900C57">
        <w:rPr>
          <w:color w:val="auto"/>
        </w:rPr>
        <w:tab/>
        <w:t>NUSPRĘSTA. Patvirtinti Komisijos 202</w:t>
      </w:r>
      <w:r w:rsidR="00C538E6" w:rsidRPr="00900C57">
        <w:rPr>
          <w:color w:val="auto"/>
        </w:rPr>
        <w:t>4-02-15</w:t>
      </w:r>
      <w:r w:rsidRPr="00900C57">
        <w:rPr>
          <w:color w:val="auto"/>
        </w:rPr>
        <w:t xml:space="preserve"> posėdžio darbotvarkę.</w:t>
      </w:r>
    </w:p>
    <w:p w14:paraId="77FD9ECA" w14:textId="77777777" w:rsidR="00805203" w:rsidRPr="00900C57" w:rsidRDefault="00805203">
      <w:pPr>
        <w:jc w:val="both"/>
        <w:rPr>
          <w:color w:val="auto"/>
        </w:rPr>
      </w:pPr>
    </w:p>
    <w:p w14:paraId="3CF17F07" w14:textId="137EEE22" w:rsidR="00805203" w:rsidRPr="00900C57" w:rsidRDefault="00607ADB" w:rsidP="00607ADB">
      <w:pPr>
        <w:ind w:firstLine="709"/>
        <w:jc w:val="both"/>
        <w:rPr>
          <w:color w:val="auto"/>
        </w:rPr>
      </w:pPr>
      <w:r w:rsidRPr="00900C57">
        <w:rPr>
          <w:color w:val="auto"/>
        </w:rPr>
        <w:t>Komisijos narės V. Degutienė ir K. Ziminska prie posėdžio prisijung</w:t>
      </w:r>
      <w:r w:rsidR="005E6813">
        <w:rPr>
          <w:color w:val="auto"/>
        </w:rPr>
        <w:t>ė</w:t>
      </w:r>
      <w:r w:rsidRPr="00900C57">
        <w:rPr>
          <w:color w:val="auto"/>
        </w:rPr>
        <w:t xml:space="preserve"> 12:05 val.</w:t>
      </w:r>
    </w:p>
    <w:p w14:paraId="0CC0A480" w14:textId="77777777" w:rsidR="002D6B51" w:rsidRPr="00900C57" w:rsidRDefault="002D6B51">
      <w:pPr>
        <w:jc w:val="both"/>
        <w:rPr>
          <w:color w:val="auto"/>
        </w:rPr>
      </w:pPr>
    </w:p>
    <w:p w14:paraId="1130736F" w14:textId="6062B625" w:rsidR="00C538E6" w:rsidRPr="00900C57" w:rsidRDefault="00C538E6" w:rsidP="00832A50">
      <w:pPr>
        <w:pStyle w:val="Pagrindiniotekstotrauka"/>
        <w:ind w:firstLine="567"/>
        <w:jc w:val="both"/>
      </w:pPr>
      <w:r w:rsidRPr="00900C57">
        <w:t xml:space="preserve">2. </w:t>
      </w:r>
      <w:r w:rsidR="000A7BFE" w:rsidRPr="00900C57">
        <w:t xml:space="preserve">SVARSTYTA. </w:t>
      </w:r>
      <w:r w:rsidRPr="00900C57">
        <w:t>DĖL KREIPIMOSI „DĖL AB LIETUVOS ORO UOSTŲ PARENGTŲ PERSPEKTYVINIŲ TRIUKŠMO ŽEMĖLAPIŲ, SKIRTŲ AERODROMŲ TRIUKŠMO APSAUGINĖMS ZONOMS NUSTATYTI“.</w:t>
      </w:r>
    </w:p>
    <w:p w14:paraId="1D5C3F60" w14:textId="2E20D14A" w:rsidR="00427C87" w:rsidRPr="00900C57" w:rsidRDefault="000A7BFE" w:rsidP="00832A50">
      <w:pPr>
        <w:ind w:firstLine="567"/>
        <w:jc w:val="both"/>
        <w:rPr>
          <w:rFonts w:eastAsia="Calibri"/>
          <w:color w:val="auto"/>
          <w:kern w:val="2"/>
          <w:lang w:eastAsia="en-US"/>
          <w14:ligatures w14:val="standardContextual"/>
        </w:rPr>
      </w:pPr>
      <w:r w:rsidRPr="00900C57">
        <w:rPr>
          <w:color w:val="auto"/>
        </w:rPr>
        <w:t>Posėdžio pirmininkas M</w:t>
      </w:r>
      <w:r w:rsidR="005E6813">
        <w:rPr>
          <w:color w:val="auto"/>
        </w:rPr>
        <w:t>.</w:t>
      </w:r>
      <w:r w:rsidRPr="00900C57">
        <w:rPr>
          <w:color w:val="auto"/>
        </w:rPr>
        <w:t xml:space="preserve"> Benkunskas pristato gautą kreipimąsi ir Teisės grupės pateiktą nuomonę šiuo klausimu. Informuoja, </w:t>
      </w:r>
      <w:r w:rsidR="00427C87" w:rsidRPr="00900C57">
        <w:rPr>
          <w:color w:val="auto"/>
        </w:rPr>
        <w:t>kad į</w:t>
      </w:r>
      <w:r w:rsidR="00427C87" w:rsidRPr="00900C57">
        <w:rPr>
          <w:rFonts w:eastAsia="Calibri"/>
          <w:color w:val="auto"/>
          <w:kern w:val="2"/>
          <w:lang w:eastAsia="en-US"/>
          <w14:ligatures w14:val="standardContextual"/>
        </w:rPr>
        <w:t xml:space="preserve">vertinus </w:t>
      </w:r>
      <w:r w:rsidR="00B2022A" w:rsidRPr="00B2022A">
        <w:rPr>
          <w:rFonts w:eastAsia="Calibri"/>
          <w:color w:val="auto"/>
          <w:kern w:val="2"/>
          <w:lang w:eastAsia="en-US"/>
          <w14:ligatures w14:val="standardContextual"/>
        </w:rPr>
        <w:t>„Vardan SALININKŲ“ (toliau - Pareiškėjas)</w:t>
      </w:r>
      <w:r w:rsidR="00427C87" w:rsidRPr="00900C57">
        <w:rPr>
          <w:rFonts w:eastAsia="Calibri"/>
          <w:color w:val="auto"/>
          <w:kern w:val="2"/>
          <w:lang w:eastAsia="en-US"/>
          <w14:ligatures w14:val="standardContextual"/>
        </w:rPr>
        <w:t xml:space="preserve"> rašt</w:t>
      </w:r>
      <w:r w:rsidR="005E6813">
        <w:rPr>
          <w:rFonts w:eastAsia="Calibri"/>
          <w:color w:val="auto"/>
          <w:kern w:val="2"/>
          <w:lang w:eastAsia="en-US"/>
          <w14:ligatures w14:val="standardContextual"/>
        </w:rPr>
        <w:t>us</w:t>
      </w:r>
      <w:r w:rsidR="00427C87" w:rsidRPr="00900C57">
        <w:rPr>
          <w:rFonts w:eastAsia="Calibri"/>
          <w:color w:val="auto"/>
          <w:kern w:val="2"/>
          <w:lang w:eastAsia="en-US"/>
          <w14:ligatures w14:val="standardContextual"/>
        </w:rPr>
        <w:t>, darytina išvada, kad Pareiškėjo netenkina akcinės bendrovės Lietuvos oro uostų parengti Perspektyviniai triukšmo žemėlapiai, skirti aerodromų triukšmo apsauginėms zonoms nustatyti, ir raštu siūloma:</w:t>
      </w:r>
    </w:p>
    <w:p w14:paraId="76F7FAFF"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 xml:space="preserve">1) norminiais teisės aktais ir tvarka leisti </w:t>
      </w:r>
      <w:r w:rsidRPr="00427C87">
        <w:rPr>
          <w:rFonts w:eastAsia="Calibri"/>
          <w:i/>
          <w:iCs/>
          <w:color w:val="auto"/>
          <w:kern w:val="2"/>
          <w:lang w:eastAsia="en-US"/>
          <w14:ligatures w14:val="standardContextual"/>
        </w:rPr>
        <w:t>„vykdyti mėgėjų sodo paskirties gyvenamojo pastato rekonstrukcijai – pasyvioms triukšmą mažinančiomis priemonėmis, kaip: pastatų išorinių sienų (skiriančių vidaus patalpas nuo lauko) izoliavimui nuo triukšmo, įsigijimui ir įrengimui; stogų dangų izoliavimui nuo triukšmo įsigijimui ir įrengimui; langų triukšmą izoliuojančių įsigijimui ir įrengimui, ventiliacinių sistemų triukšmą mažinančių įsigijimui ir įrengimui, ir pan.</w:t>
      </w:r>
      <w:r w:rsidRPr="00427C87">
        <w:rPr>
          <w:rFonts w:eastAsia="Calibri"/>
          <w:color w:val="auto"/>
          <w:kern w:val="2"/>
          <w:lang w:eastAsia="en-US"/>
          <w14:ligatures w14:val="standardContextual"/>
        </w:rPr>
        <w:t>“;</w:t>
      </w:r>
    </w:p>
    <w:p w14:paraId="22650086"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2) padidinti maksimalius kompensacijos dydžius, atsisakant atskirų triukšmo apsaugos teritorijų zonų (t. y. I, II ir III teritorijos).</w:t>
      </w:r>
    </w:p>
    <w:p w14:paraId="17D1E023"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Pažymime, kad Lietuvos Respublikos specialiųjų žemės naudojimo sąlygų įstatymas nustato, kad a</w:t>
      </w:r>
      <w:r w:rsidRPr="00427C87">
        <w:rPr>
          <w:rFonts w:eastAsia="Calibri"/>
          <w:color w:val="auto"/>
          <w:kern w:val="2"/>
          <w:shd w:val="clear" w:color="auto" w:fill="FFFFFF"/>
          <w:lang w:eastAsia="en-US"/>
          <w14:ligatures w14:val="standardContextual"/>
        </w:rPr>
        <w:t xml:space="preserve">erodromo triukšmo apsauginė zona nustatoma aerodromams su dirbtine orlaivių kilimo ir </w:t>
      </w:r>
      <w:r w:rsidRPr="00427C87">
        <w:rPr>
          <w:rFonts w:eastAsia="Calibri"/>
          <w:color w:val="auto"/>
          <w:kern w:val="2"/>
          <w:shd w:val="clear" w:color="auto" w:fill="FFFFFF"/>
          <w:lang w:eastAsia="en-US"/>
          <w14:ligatures w14:val="standardContextual"/>
        </w:rPr>
        <w:lastRenderedPageBreak/>
        <w:t>tūpimo tako danga, kai kilimo ir tūpimo tako ilgis ne trumpesnis kaip 1 200 metrų, atsižvelgus į modeliavimo būdu Aviacijos įstatyme nurodyta tvarka parengtą perspektyvinį triukšmo žemėlapį (54 straipsnis).</w:t>
      </w:r>
      <w:r w:rsidRPr="00427C87">
        <w:rPr>
          <w:rFonts w:eastAsia="Calibri"/>
          <w:color w:val="auto"/>
          <w:kern w:val="2"/>
          <w:lang w:eastAsia="en-US"/>
          <w14:ligatures w14:val="standardContextual"/>
        </w:rPr>
        <w:t xml:space="preserve"> Minėto įstatymo 55 straipsniu taip pat reglamentuotos specialiosios žemės naudojimo sąlygos aerodromo triukšmo apsauginėje zonoje. Pavyzdžiui, aerodromo triukšmo apsauginėje zonoje draudžiama statyti gyvenamosios, poilsio, gydymo paskirties pastatus, bendrojo ugdymo, profesinių, aukštųjų mokyklų, vaikų darželių, lopšelių mokslo paskirties pastatus, skirtus švietimo reikmėms, kitus mokslo paskirties pastatus, skirtus neformaliajam švietimui, poilsio, gydymo paskirties pastatus, įrengti pirmiau nurodytos paskirties patalpas kitos paskirties statiniuose ir (ar) rekonstruojant arba remontuojant statinius ir kt. (Specialiųjų žemės naudojimo sąlygų įstatymo 55 straipsnio 1 dalis). Aerodromo triukšmo apsauginėje zonoje draudžiama rekonstruoti (jeigu rekonstravimo metu didėja pastato išorės matmenys) gyvenamosios paskirties pastatus (Specialiųjų žemės naudojimo sąlygų įstatymo 55 straipsnio 2 dalis).</w:t>
      </w:r>
    </w:p>
    <w:p w14:paraId="69904ED1"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 xml:space="preserve">Lietuvos Respublikos aviacijos įstatymas numato, kad </w:t>
      </w:r>
      <w:r w:rsidRPr="00427C87">
        <w:rPr>
          <w:rFonts w:eastAsia="Calibri"/>
          <w:color w:val="auto"/>
          <w:kern w:val="2"/>
          <w:shd w:val="clear" w:color="auto" w:fill="FFFFFF"/>
          <w:lang w:eastAsia="en-US"/>
          <w14:ligatures w14:val="standardContextual"/>
        </w:rPr>
        <w:t xml:space="preserve">aerodromo triukšmo apsauginė zona nustatoma, atsižvelgus į modeliavimo būdu parengtą perspektyvinį triukšmo žemėlapį, o Perspektyvinių triukšmo žemėlapių rengimo, derinimo, tvirtinimo ir viešinimo tvarka nustatyta Vyriausybės patvirtintose Perspektyvinių triukšmo žemėlapių rengimo, derinimo, tvirtinimo, viešinimo ir triukšmo mažinimo priemonių įgyvendinimo išlaidų kompensavimo taisyklėse (13 straipsnio 2 dalis). </w:t>
      </w:r>
      <w:r w:rsidRPr="00427C87">
        <w:rPr>
          <w:rFonts w:eastAsia="Calibri"/>
          <w:color w:val="auto"/>
          <w:kern w:val="2"/>
          <w:lang w:eastAsia="en-US"/>
          <w14:ligatures w14:val="standardContextual"/>
        </w:rPr>
        <w:t>Kompensacijų dėl specialiųjų žemės naudojimo sąlygų taikymo apskaičiavimo ir išmokėjimo tvarka nustatomas Lietuvos Respublikos Vyriausybės nutarimu.</w:t>
      </w:r>
    </w:p>
    <w:p w14:paraId="602C994A"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 xml:space="preserve">Lietuvos Respublikos Vyriausybė </w:t>
      </w:r>
      <w:r w:rsidRPr="00427C87">
        <w:rPr>
          <w:color w:val="auto"/>
        </w:rPr>
        <w:t xml:space="preserve">2020 m. gruodžio 2 d. nutarimu Nr. 1369 „Dėl Perspektyvinių triukšmo žemėlapių rengimo, derinimo, tvirtinimo, viešinimo ir triukšmo mažinimo priemonių įgyvendinimo išlaidų kompensavimo taisyklių patvirtinimo“ patvirtino </w:t>
      </w:r>
      <w:bookmarkStart w:id="1" w:name="part_23aecaa8fea9422eb6454d462ad31fcc"/>
      <w:bookmarkEnd w:id="1"/>
      <w:r w:rsidRPr="00427C87">
        <w:rPr>
          <w:color w:val="auto"/>
        </w:rPr>
        <w:t xml:space="preserve">Perspektyvinių triukšmo žemėlapių rengimo, derinimo, tvirtinimo, viešinimo ir triukšmo mažinimo priemonių įgyvendinimo išlaidų kompensavimo taisykles (toliau - Taisyklės). Taisyklių 3 ir 10 punktai nustato, kad </w:t>
      </w:r>
      <w:r w:rsidRPr="00427C87">
        <w:rPr>
          <w:rFonts w:eastAsia="Calibri"/>
          <w:color w:val="auto"/>
          <w:kern w:val="2"/>
          <w:lang w:eastAsia="en-US"/>
          <w14:ligatures w14:val="standardContextual"/>
        </w:rPr>
        <w:t>perspektyvinius triukšmo žemėlapius, skirtus aerodromų triukšmo apsauginėms zonoms nustatyti aplink civilinius aerodromus su dirbtine orlaivių kilimo ir tūpimo tako, kuris yra ne trumpesnis kaip 1 200 metrų, danga, rengia civilinį aerodromą valdanti įmonė, o tvirtina – Lietuvos Respublikos susisiekimo ministerija.</w:t>
      </w:r>
    </w:p>
    <w:p w14:paraId="2A01A545"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Pažymėtina, kad Taisyklių 1 priedu yra nustatytas maksimalių kompensacijų dydžių sąrašas.</w:t>
      </w:r>
    </w:p>
    <w:p w14:paraId="1C2E056F" w14:textId="77777777" w:rsidR="00427C87" w:rsidRPr="00427C87" w:rsidRDefault="00427C87" w:rsidP="00832A50">
      <w:pPr>
        <w:ind w:firstLine="567"/>
        <w:jc w:val="both"/>
        <w:rPr>
          <w:rFonts w:eastAsia="Calibri"/>
          <w:color w:val="auto"/>
          <w:kern w:val="2"/>
          <w:lang w:eastAsia="en-US"/>
          <w14:ligatures w14:val="standardContextual"/>
        </w:rPr>
      </w:pPr>
      <w:r w:rsidRPr="00427C87">
        <w:rPr>
          <w:rFonts w:eastAsia="Calibri"/>
          <w:color w:val="auto"/>
          <w:kern w:val="2"/>
          <w:lang w:eastAsia="en-US"/>
          <w14:ligatures w14:val="standardContextual"/>
        </w:rPr>
        <w:t xml:space="preserve">Lietuvos Respublikos peticijų konstitucinio įstatymo (toliau – Peticijų įstatymas) 4 straipsnio 4 dalis reglamentuoja, kad </w:t>
      </w:r>
      <w:r w:rsidRPr="00427C87">
        <w:rPr>
          <w:rFonts w:eastAsia="Calibri"/>
          <w:color w:val="auto"/>
          <w:kern w:val="2"/>
          <w14:ligatures w14:val="standardContextual"/>
        </w:rPr>
        <w:t xml:space="preserve">savivaldybės peticijų komisija nagrinėja peticijas dėl </w:t>
      </w:r>
      <w:r w:rsidRPr="00427C87">
        <w:rPr>
          <w:rFonts w:eastAsia="Calibri"/>
          <w:i/>
          <w:iCs/>
          <w:color w:val="auto"/>
          <w:kern w:val="2"/>
          <w14:ligatures w14:val="standardContextual"/>
        </w:rPr>
        <w:t>savivaldybės institucijų priimamų norminių teisės aktų</w:t>
      </w:r>
      <w:r w:rsidRPr="00427C87">
        <w:rPr>
          <w:rFonts w:eastAsia="Calibri"/>
          <w:color w:val="auto"/>
          <w:kern w:val="2"/>
          <w14:ligatures w14:val="standardContextual"/>
        </w:rPr>
        <w:t xml:space="preserve">. </w:t>
      </w:r>
      <w:r w:rsidRPr="00427C87">
        <w:rPr>
          <w:rFonts w:eastAsia="Calibri"/>
          <w:color w:val="auto"/>
          <w:kern w:val="2"/>
          <w:lang w:eastAsia="en-US"/>
          <w14:ligatures w14:val="standardContextual"/>
        </w:rPr>
        <w:t>Peticijų komisija, nustačiusi, kad gautame kreipimesi pateikto prašymo ar siūlymo nagrinėjimas nepriskirtas jos kompetencijai, per 5 darbo dienas nuo šio sprendimo dienos tokį kreipimąsi persiunčia Peticijų įstatymo 8 straipsnio 1 dalyje nurodytai atitinkamai institucijai ir apie tai praneša pareiškėjui ar jo atstovui.</w:t>
      </w:r>
    </w:p>
    <w:p w14:paraId="2C934419" w14:textId="77777777" w:rsidR="00427C87" w:rsidRPr="00427C87" w:rsidRDefault="00427C87" w:rsidP="00832A50">
      <w:pPr>
        <w:ind w:firstLine="567"/>
        <w:jc w:val="both"/>
        <w:rPr>
          <w:color w:val="auto"/>
        </w:rPr>
      </w:pPr>
      <w:r w:rsidRPr="00427C87">
        <w:rPr>
          <w:rFonts w:eastAsia="Calibri"/>
          <w:color w:val="auto"/>
          <w:kern w:val="2"/>
          <w:lang w:eastAsia="en-US"/>
          <w14:ligatures w14:val="standardContextual"/>
        </w:rPr>
        <w:t xml:space="preserve">Dėl aukščiau aptarto teisinio reglamentavimo, Teisės grupės nuomone, pareiškėjo siūlymai keisti teisinį reguliavimą, numatantį galimybę vykdyti rekonstrukciją ar didinti nustatytus kompensacijų dydžius, nėra susiję su Savivaldybės institucijų priimamais norminiais teisės aktais, kadangi šie teisės aktai reguliuojami įstatymais (pavyzdžiui, Specialiųjų žemės naudojimo sąlygų įstatymas) ir Lietuvos Respublikos Vyriausybė </w:t>
      </w:r>
      <w:r w:rsidRPr="00427C87">
        <w:rPr>
          <w:color w:val="auto"/>
        </w:rPr>
        <w:t xml:space="preserve">2020 m. gruodžio 2 d. nutarimu Nr. 1369 „Dėl Perspektyvinių triukšmo žemėlapių rengimo, derinimo, tvirtinimo, viešinimo ir triukšmo mažinimo priemonių įgyvendinimo išlaidų kompensavimo taisyklių patvirtinimo“. Taip pat pažymėtina, kad savivaldybių institucijos nerengia ir nedalyvauja rengiant </w:t>
      </w:r>
      <w:r w:rsidRPr="00427C87">
        <w:rPr>
          <w:rFonts w:eastAsia="Calibri"/>
          <w:color w:val="auto"/>
          <w:kern w:val="2"/>
          <w:lang w:eastAsia="en-US"/>
          <w14:ligatures w14:val="standardContextual"/>
        </w:rPr>
        <w:t xml:space="preserve">perspektyvinius triukšmo žemėlapius, kurių rengimo, derinimo, tvirtinimo ir viešinimo tvarka reglamentuota Lietuvos Respublikos Vyriausybė </w:t>
      </w:r>
      <w:r w:rsidRPr="00427C87">
        <w:rPr>
          <w:color w:val="auto"/>
        </w:rPr>
        <w:t>2020 m. gruodžio 2 d. nutarimu Nr. 1369.</w:t>
      </w:r>
      <w:r w:rsidRPr="00427C87">
        <w:rPr>
          <w:rFonts w:eastAsia="Calibri"/>
          <w:color w:val="auto"/>
          <w:kern w:val="2"/>
          <w:lang w:eastAsia="en-US"/>
          <w14:ligatures w14:val="standardContextual"/>
        </w:rPr>
        <w:t xml:space="preserve">  </w:t>
      </w:r>
    </w:p>
    <w:p w14:paraId="28A84594" w14:textId="5E2D7AAD" w:rsidR="00427C87" w:rsidRPr="00900C57" w:rsidRDefault="00427C87" w:rsidP="00832A50">
      <w:pPr>
        <w:ind w:firstLine="567"/>
        <w:jc w:val="both"/>
        <w:rPr>
          <w:color w:val="auto"/>
        </w:rPr>
      </w:pPr>
      <w:r w:rsidRPr="00427C87">
        <w:rPr>
          <w:color w:val="auto"/>
        </w:rPr>
        <w:t xml:space="preserve">Manytina, kad </w:t>
      </w:r>
      <w:r w:rsidR="005E6813">
        <w:rPr>
          <w:color w:val="auto"/>
        </w:rPr>
        <w:t>P</w:t>
      </w:r>
      <w:r w:rsidRPr="00427C87">
        <w:rPr>
          <w:color w:val="auto"/>
        </w:rPr>
        <w:t xml:space="preserve">areiškėjas turėtų būti informuotas, kad </w:t>
      </w:r>
      <w:bookmarkStart w:id="2" w:name="_Hlk158892592"/>
      <w:r w:rsidRPr="00427C87">
        <w:rPr>
          <w:color w:val="auto"/>
        </w:rPr>
        <w:t>rašte keliami klausimai nėra susiję su Savivaldybės institucijų priimamais norminiais teisės aktais, o raštas nebus persiųstas Peticijų įstatymo 11 straipsnio nustatyta tvarka, kadangi raštas yra adresuotas tiek Lietuvos Respublikos Seimo, tiek Lietuvos Respublikos Vyriausybės peticijų komisijoms.</w:t>
      </w:r>
    </w:p>
    <w:bookmarkEnd w:id="2"/>
    <w:p w14:paraId="68E9A4D9" w14:textId="1564B070" w:rsidR="00DA5919" w:rsidRPr="00427C87" w:rsidRDefault="005E6813" w:rsidP="00832A50">
      <w:pPr>
        <w:ind w:firstLine="567"/>
        <w:jc w:val="both"/>
        <w:rPr>
          <w:rFonts w:eastAsia="Calibri"/>
          <w:color w:val="auto"/>
          <w:kern w:val="2"/>
          <w:lang w:eastAsia="en-US"/>
          <w14:ligatures w14:val="standardContextual"/>
        </w:rPr>
      </w:pPr>
      <w:r>
        <w:rPr>
          <w:color w:val="auto"/>
        </w:rPr>
        <w:t>Taip pat posėdžio pirmininkas M. Benkunskas i</w:t>
      </w:r>
      <w:r w:rsidR="00DA5919" w:rsidRPr="00900C57">
        <w:rPr>
          <w:color w:val="auto"/>
        </w:rPr>
        <w:t>nformuoja, kad 2024 m. vasario 14 d. buvo gaut</w:t>
      </w:r>
      <w:r>
        <w:rPr>
          <w:color w:val="auto"/>
        </w:rPr>
        <w:t>as</w:t>
      </w:r>
      <w:r w:rsidR="00DA5919" w:rsidRPr="00900C57">
        <w:rPr>
          <w:color w:val="auto"/>
        </w:rPr>
        <w:t xml:space="preserve"> Pareiškėjo </w:t>
      </w:r>
      <w:r w:rsidR="00E4588A" w:rsidRPr="00900C57">
        <w:rPr>
          <w:color w:val="auto"/>
        </w:rPr>
        <w:t>rašto papildymas</w:t>
      </w:r>
      <w:r w:rsidR="00912F41" w:rsidRPr="00900C57">
        <w:rPr>
          <w:color w:val="auto"/>
        </w:rPr>
        <w:t xml:space="preserve">, kuriame buvo papildytos </w:t>
      </w:r>
      <w:r w:rsidR="00695F7E">
        <w:rPr>
          <w:color w:val="auto"/>
        </w:rPr>
        <w:t xml:space="preserve">rašte minimos </w:t>
      </w:r>
      <w:r w:rsidR="00912F41" w:rsidRPr="00900C57">
        <w:rPr>
          <w:color w:val="auto"/>
        </w:rPr>
        <w:t>aplinkybės</w:t>
      </w:r>
      <w:r w:rsidR="009E3276" w:rsidRPr="00900C57">
        <w:rPr>
          <w:color w:val="auto"/>
        </w:rPr>
        <w:t>. Tačiau Teisės grupės išvada dėl pateikto Pareiškėjo papi</w:t>
      </w:r>
      <w:r w:rsidR="00560988" w:rsidRPr="00900C57">
        <w:rPr>
          <w:color w:val="auto"/>
        </w:rPr>
        <w:t>ldymo yra identiška</w:t>
      </w:r>
      <w:r w:rsidR="00695F7E">
        <w:rPr>
          <w:color w:val="auto"/>
        </w:rPr>
        <w:t xml:space="preserve"> tai, kuri ką tik buvo įgarsinta.</w:t>
      </w:r>
      <w:r w:rsidR="00560988" w:rsidRPr="00900C57">
        <w:rPr>
          <w:color w:val="auto"/>
        </w:rPr>
        <w:t xml:space="preserve"> </w:t>
      </w:r>
    </w:p>
    <w:p w14:paraId="132A718D" w14:textId="77777777" w:rsidR="006C7F32" w:rsidRPr="00900C57" w:rsidRDefault="006C7F32" w:rsidP="00832A50">
      <w:pPr>
        <w:ind w:firstLine="567"/>
        <w:jc w:val="both"/>
        <w:rPr>
          <w:color w:val="auto"/>
        </w:rPr>
      </w:pPr>
      <w:r w:rsidRPr="00900C57">
        <w:rPr>
          <w:color w:val="auto"/>
        </w:rPr>
        <w:t>Komisijos nariai klausimų neturi.</w:t>
      </w:r>
    </w:p>
    <w:p w14:paraId="54477C4D" w14:textId="5E52F87A" w:rsidR="002D6B51" w:rsidRPr="00900C57" w:rsidRDefault="00226F85" w:rsidP="00832A50">
      <w:pPr>
        <w:ind w:firstLine="567"/>
        <w:jc w:val="both"/>
        <w:rPr>
          <w:color w:val="auto"/>
        </w:rPr>
      </w:pPr>
      <w:r w:rsidRPr="00900C57">
        <w:rPr>
          <w:color w:val="auto"/>
          <w:lang w:eastAsia="en-US"/>
        </w:rPr>
        <w:t>Posėdžio pirmininkas siūlo kreipimosi nepripažinti peticija</w:t>
      </w:r>
      <w:r w:rsidR="006C7F32" w:rsidRPr="00900C57">
        <w:rPr>
          <w:color w:val="auto"/>
          <w:lang w:eastAsia="en-US"/>
        </w:rPr>
        <w:t>.</w:t>
      </w:r>
      <w:r w:rsidRPr="00900C57">
        <w:rPr>
          <w:color w:val="auto"/>
          <w:lang w:eastAsia="en-US"/>
        </w:rPr>
        <w:t xml:space="preserve"> </w:t>
      </w:r>
    </w:p>
    <w:p w14:paraId="0BD8C889" w14:textId="77777777" w:rsidR="002D6B51" w:rsidRPr="00900C57" w:rsidRDefault="000A7BFE" w:rsidP="006C7F32">
      <w:pPr>
        <w:pBdr>
          <w:top w:val="nil"/>
          <w:left w:val="nil"/>
          <w:bottom w:val="nil"/>
          <w:right w:val="nil"/>
          <w:between w:val="nil"/>
        </w:pBdr>
        <w:ind w:firstLine="567"/>
        <w:jc w:val="both"/>
        <w:rPr>
          <w:color w:val="auto"/>
        </w:rPr>
      </w:pPr>
      <w:r w:rsidRPr="00900C57">
        <w:rPr>
          <w:color w:val="auto"/>
        </w:rPr>
        <w:t>„Už“ – bendru sutarimu.</w:t>
      </w:r>
    </w:p>
    <w:p w14:paraId="5F271DE9" w14:textId="77777777" w:rsidR="00427C87" w:rsidRPr="00900C57" w:rsidRDefault="000A7BFE" w:rsidP="00832A50">
      <w:pPr>
        <w:ind w:firstLine="567"/>
        <w:jc w:val="both"/>
        <w:rPr>
          <w:color w:val="auto"/>
        </w:rPr>
      </w:pPr>
      <w:r w:rsidRPr="00900C57">
        <w:rPr>
          <w:color w:val="auto"/>
        </w:rPr>
        <w:t xml:space="preserve">NUSPRĘSTA: </w:t>
      </w:r>
    </w:p>
    <w:p w14:paraId="4AAC03D5" w14:textId="2ADBCE75" w:rsidR="00427C87" w:rsidRPr="00900C57" w:rsidRDefault="000A7BFE" w:rsidP="00832A50">
      <w:pPr>
        <w:pStyle w:val="Sraopastraipa"/>
        <w:numPr>
          <w:ilvl w:val="3"/>
          <w:numId w:val="2"/>
        </w:numPr>
        <w:tabs>
          <w:tab w:val="left" w:pos="993"/>
        </w:tabs>
        <w:ind w:left="0" w:firstLine="567"/>
        <w:jc w:val="both"/>
        <w:rPr>
          <w:bCs/>
          <w:color w:val="auto"/>
        </w:rPr>
      </w:pPr>
      <w:r w:rsidRPr="00900C57">
        <w:rPr>
          <w:bCs/>
          <w:color w:val="auto"/>
        </w:rPr>
        <w:t>Vadovaujantis</w:t>
      </w:r>
      <w:r w:rsidR="002C2A31" w:rsidRPr="00900C57">
        <w:rPr>
          <w:bCs/>
          <w:color w:val="auto"/>
        </w:rPr>
        <w:t xml:space="preserve"> </w:t>
      </w:r>
      <w:r w:rsidR="00FC0085" w:rsidRPr="00900C57">
        <w:rPr>
          <w:bCs/>
          <w:color w:val="auto"/>
        </w:rPr>
        <w:t>Lietuvos Respublikos p</w:t>
      </w:r>
      <w:r w:rsidRPr="00900C57">
        <w:rPr>
          <w:bCs/>
          <w:color w:val="auto"/>
        </w:rPr>
        <w:t>eticijų</w:t>
      </w:r>
      <w:r w:rsidR="002C2A31" w:rsidRPr="00900C57">
        <w:rPr>
          <w:bCs/>
          <w:color w:val="auto"/>
        </w:rPr>
        <w:t xml:space="preserve"> </w:t>
      </w:r>
      <w:r w:rsidRPr="00900C57">
        <w:rPr>
          <w:bCs/>
          <w:color w:val="auto"/>
        </w:rPr>
        <w:t>konstitucinio</w:t>
      </w:r>
      <w:r w:rsidR="002C2A31" w:rsidRPr="00900C57">
        <w:rPr>
          <w:bCs/>
          <w:color w:val="auto"/>
        </w:rPr>
        <w:t xml:space="preserve"> </w:t>
      </w:r>
      <w:r w:rsidRPr="00900C57">
        <w:rPr>
          <w:bCs/>
          <w:color w:val="auto"/>
        </w:rPr>
        <w:t>įstatymo</w:t>
      </w:r>
      <w:r w:rsidR="002C2A31" w:rsidRPr="00900C57">
        <w:rPr>
          <w:bCs/>
          <w:color w:val="auto"/>
        </w:rPr>
        <w:t xml:space="preserve"> </w:t>
      </w:r>
      <w:r w:rsidR="00C4799D" w:rsidRPr="00900C57">
        <w:rPr>
          <w:color w:val="auto"/>
          <w:lang w:eastAsia="en-US"/>
        </w:rPr>
        <w:t>12 str. 2 d. 4 p</w:t>
      </w:r>
      <w:r w:rsidR="00FC0085" w:rsidRPr="00900C57">
        <w:rPr>
          <w:bCs/>
          <w:color w:val="auto"/>
        </w:rPr>
        <w:t>.</w:t>
      </w:r>
      <w:r w:rsidRPr="00900C57">
        <w:rPr>
          <w:bCs/>
          <w:color w:val="auto"/>
        </w:rPr>
        <w:t xml:space="preserve">, </w:t>
      </w:r>
      <w:r w:rsidR="00223652" w:rsidRPr="00900C57">
        <w:rPr>
          <w:bCs/>
          <w:color w:val="auto"/>
        </w:rPr>
        <w:t xml:space="preserve"> </w:t>
      </w:r>
      <w:r w:rsidRPr="00900C57">
        <w:rPr>
          <w:bCs/>
          <w:color w:val="auto"/>
        </w:rPr>
        <w:t>kreipimosi</w:t>
      </w:r>
      <w:r w:rsidR="00FC0085" w:rsidRPr="00900C57">
        <w:rPr>
          <w:bCs/>
          <w:color w:val="auto"/>
        </w:rPr>
        <w:t xml:space="preserve"> </w:t>
      </w:r>
      <w:r w:rsidRPr="00900C57">
        <w:rPr>
          <w:bCs/>
          <w:color w:val="auto"/>
        </w:rPr>
        <w:t xml:space="preserve">nepripažinti peticija. </w:t>
      </w:r>
    </w:p>
    <w:p w14:paraId="555EF077" w14:textId="2D426BAB" w:rsidR="002D6B51" w:rsidRPr="00695F7E" w:rsidRDefault="000A7BFE" w:rsidP="00695F7E">
      <w:pPr>
        <w:pStyle w:val="Sraopastraipa"/>
        <w:numPr>
          <w:ilvl w:val="0"/>
          <w:numId w:val="2"/>
        </w:numPr>
        <w:tabs>
          <w:tab w:val="left" w:pos="993"/>
        </w:tabs>
        <w:ind w:left="0" w:firstLine="567"/>
        <w:jc w:val="both"/>
        <w:rPr>
          <w:color w:val="auto"/>
        </w:rPr>
      </w:pPr>
      <w:r w:rsidRPr="00695F7E">
        <w:rPr>
          <w:bCs/>
          <w:color w:val="auto"/>
        </w:rPr>
        <w:t xml:space="preserve">Vadovaujantis </w:t>
      </w:r>
      <w:r w:rsidR="00223652" w:rsidRPr="00695F7E">
        <w:rPr>
          <w:bCs/>
          <w:color w:val="auto"/>
        </w:rPr>
        <w:t xml:space="preserve">  </w:t>
      </w:r>
      <w:r w:rsidRPr="00695F7E">
        <w:rPr>
          <w:bCs/>
          <w:color w:val="auto"/>
        </w:rPr>
        <w:t xml:space="preserve">Peticijų </w:t>
      </w:r>
      <w:r w:rsidR="00223652" w:rsidRPr="00695F7E">
        <w:rPr>
          <w:bCs/>
          <w:color w:val="auto"/>
        </w:rPr>
        <w:t xml:space="preserve"> </w:t>
      </w:r>
      <w:r w:rsidRPr="00695F7E">
        <w:rPr>
          <w:bCs/>
          <w:color w:val="auto"/>
        </w:rPr>
        <w:t xml:space="preserve">konstitucinio </w:t>
      </w:r>
      <w:r w:rsidR="00223652" w:rsidRPr="00695F7E">
        <w:rPr>
          <w:bCs/>
          <w:color w:val="auto"/>
        </w:rPr>
        <w:t xml:space="preserve"> </w:t>
      </w:r>
      <w:r w:rsidRPr="00695F7E">
        <w:rPr>
          <w:bCs/>
          <w:color w:val="auto"/>
        </w:rPr>
        <w:t xml:space="preserve">įstatymo </w:t>
      </w:r>
      <w:r w:rsidR="00223652" w:rsidRPr="00695F7E">
        <w:rPr>
          <w:bCs/>
          <w:color w:val="auto"/>
        </w:rPr>
        <w:t xml:space="preserve"> </w:t>
      </w:r>
      <w:r w:rsidR="00427C87" w:rsidRPr="00695F7E">
        <w:rPr>
          <w:bCs/>
          <w:color w:val="auto"/>
        </w:rPr>
        <w:t>11</w:t>
      </w:r>
      <w:r w:rsidRPr="00695F7E">
        <w:rPr>
          <w:bCs/>
          <w:color w:val="auto"/>
        </w:rPr>
        <w:t xml:space="preserve"> </w:t>
      </w:r>
      <w:r w:rsidR="00223652" w:rsidRPr="00695F7E">
        <w:rPr>
          <w:bCs/>
          <w:color w:val="auto"/>
        </w:rPr>
        <w:t xml:space="preserve"> </w:t>
      </w:r>
      <w:r w:rsidRPr="00695F7E">
        <w:rPr>
          <w:bCs/>
          <w:color w:val="auto"/>
        </w:rPr>
        <w:t>str</w:t>
      </w:r>
      <w:r w:rsidR="00695F7E">
        <w:rPr>
          <w:bCs/>
          <w:color w:val="auto"/>
        </w:rPr>
        <w:t xml:space="preserve">., </w:t>
      </w:r>
      <w:r w:rsidR="00427C87" w:rsidRPr="00695F7E">
        <w:rPr>
          <w:color w:val="auto"/>
        </w:rPr>
        <w:t>informuot</w:t>
      </w:r>
      <w:r w:rsidR="00900C57" w:rsidRPr="00695F7E">
        <w:rPr>
          <w:color w:val="auto"/>
        </w:rPr>
        <w:t>i Pareiškėją</w:t>
      </w:r>
      <w:r w:rsidR="00427C87" w:rsidRPr="00695F7E">
        <w:rPr>
          <w:color w:val="auto"/>
        </w:rPr>
        <w:t xml:space="preserve">, </w:t>
      </w:r>
      <w:r w:rsidR="00695F7E">
        <w:rPr>
          <w:color w:val="auto"/>
        </w:rPr>
        <w:t xml:space="preserve">kad </w:t>
      </w:r>
      <w:r w:rsidR="00900C57" w:rsidRPr="00695F7E">
        <w:rPr>
          <w:color w:val="auto"/>
        </w:rPr>
        <w:t>rašte keliami klausimai nėra susiję su Savivaldybės institucijų priimamais norminiais teisės aktais, o raštas nebus persiųstas Peticijų įstatymo 11 straipsnio nustatyta tvarka, kadangi raštas yra adresuotas tiek Lietuvos Respublikos Seimo, tiek Lietuvos Respublikos Vyriausybės peticijų komisijoms.</w:t>
      </w:r>
    </w:p>
    <w:p w14:paraId="74FD1F9A" w14:textId="77777777" w:rsidR="00900C57" w:rsidRDefault="00900C57" w:rsidP="00900C57">
      <w:pPr>
        <w:ind w:firstLine="567"/>
        <w:jc w:val="both"/>
        <w:rPr>
          <w:color w:val="auto"/>
        </w:rPr>
      </w:pPr>
    </w:p>
    <w:p w14:paraId="2C0E526A" w14:textId="77777777" w:rsidR="00900C57" w:rsidRDefault="00900C57" w:rsidP="00900C57">
      <w:pPr>
        <w:ind w:firstLine="567"/>
        <w:jc w:val="both"/>
        <w:rPr>
          <w:color w:val="auto"/>
        </w:rPr>
      </w:pPr>
    </w:p>
    <w:p w14:paraId="0F01841B" w14:textId="77777777" w:rsidR="00900C57" w:rsidRPr="00900C57" w:rsidRDefault="00900C57" w:rsidP="00900C57">
      <w:pPr>
        <w:ind w:firstLine="567"/>
        <w:jc w:val="both"/>
        <w:rPr>
          <w:color w:val="auto"/>
        </w:rPr>
      </w:pPr>
    </w:p>
    <w:tbl>
      <w:tblPr>
        <w:tblStyle w:val="a"/>
        <w:tblW w:w="20270" w:type="dxa"/>
        <w:tblInd w:w="0" w:type="dxa"/>
        <w:tblLayout w:type="fixed"/>
        <w:tblLook w:val="0000" w:firstRow="0" w:lastRow="0" w:firstColumn="0" w:lastColumn="0" w:noHBand="0" w:noVBand="0"/>
      </w:tblPr>
      <w:tblGrid>
        <w:gridCol w:w="4358"/>
        <w:gridCol w:w="5386"/>
        <w:gridCol w:w="5386"/>
        <w:gridCol w:w="5140"/>
      </w:tblGrid>
      <w:tr w:rsidR="00900C57" w:rsidRPr="00900C57" w14:paraId="4411E500" w14:textId="77777777" w:rsidTr="00C531DF">
        <w:trPr>
          <w:trHeight w:val="87"/>
        </w:trPr>
        <w:tc>
          <w:tcPr>
            <w:tcW w:w="4358" w:type="dxa"/>
            <w:shd w:val="clear" w:color="auto" w:fill="auto"/>
          </w:tcPr>
          <w:p w14:paraId="363BDC4C" w14:textId="77777777" w:rsidR="00C531DF" w:rsidRPr="00900C57" w:rsidRDefault="00C531DF">
            <w:pPr>
              <w:rPr>
                <w:color w:val="auto"/>
              </w:rPr>
            </w:pPr>
            <w:r w:rsidRPr="00900C57">
              <w:rPr>
                <w:color w:val="auto"/>
              </w:rPr>
              <w:t>Posėdžio pirmininkas</w:t>
            </w:r>
          </w:p>
          <w:p w14:paraId="317F2BFF" w14:textId="77777777" w:rsidR="00C531DF" w:rsidRPr="00900C57" w:rsidRDefault="00C531DF">
            <w:pPr>
              <w:rPr>
                <w:color w:val="auto"/>
              </w:rPr>
            </w:pPr>
          </w:p>
        </w:tc>
        <w:tc>
          <w:tcPr>
            <w:tcW w:w="5386" w:type="dxa"/>
          </w:tcPr>
          <w:p w14:paraId="0E0E9A15" w14:textId="60743FD6" w:rsidR="00C531DF" w:rsidRPr="00900C57" w:rsidRDefault="00CA3E73">
            <w:pPr>
              <w:jc w:val="right"/>
              <w:rPr>
                <w:color w:val="auto"/>
              </w:rPr>
            </w:pPr>
            <w:r w:rsidRPr="00900C57">
              <w:rPr>
                <w:color w:val="auto"/>
              </w:rPr>
              <w:t>Mantas Benkunskas</w:t>
            </w:r>
          </w:p>
        </w:tc>
        <w:tc>
          <w:tcPr>
            <w:tcW w:w="5386" w:type="dxa"/>
          </w:tcPr>
          <w:p w14:paraId="76C7AE0D" w14:textId="02DDB252" w:rsidR="00C531DF" w:rsidRPr="00900C57" w:rsidRDefault="00C531DF">
            <w:pPr>
              <w:jc w:val="right"/>
              <w:rPr>
                <w:color w:val="auto"/>
              </w:rPr>
            </w:pPr>
            <w:r w:rsidRPr="00900C57">
              <w:rPr>
                <w:color w:val="auto"/>
              </w:rPr>
              <w:t>Mantas Benkunskas</w:t>
            </w:r>
          </w:p>
          <w:p w14:paraId="656D0F73" w14:textId="77777777" w:rsidR="00C531DF" w:rsidRPr="00900C57" w:rsidRDefault="00C531DF">
            <w:pPr>
              <w:jc w:val="right"/>
              <w:rPr>
                <w:color w:val="auto"/>
              </w:rPr>
            </w:pPr>
          </w:p>
        </w:tc>
        <w:tc>
          <w:tcPr>
            <w:tcW w:w="5140" w:type="dxa"/>
            <w:shd w:val="clear" w:color="auto" w:fill="auto"/>
          </w:tcPr>
          <w:p w14:paraId="23F689D1" w14:textId="77777777" w:rsidR="00C531DF" w:rsidRPr="00900C57" w:rsidRDefault="00C531DF">
            <w:pPr>
              <w:jc w:val="right"/>
              <w:rPr>
                <w:color w:val="auto"/>
              </w:rPr>
            </w:pPr>
          </w:p>
        </w:tc>
      </w:tr>
      <w:tr w:rsidR="00C531DF" w:rsidRPr="00900C57" w14:paraId="1148C226" w14:textId="77777777" w:rsidTr="00C531DF">
        <w:trPr>
          <w:trHeight w:val="87"/>
        </w:trPr>
        <w:tc>
          <w:tcPr>
            <w:tcW w:w="4358" w:type="dxa"/>
            <w:shd w:val="clear" w:color="auto" w:fill="auto"/>
          </w:tcPr>
          <w:p w14:paraId="7D8B152D" w14:textId="77777777" w:rsidR="00C531DF" w:rsidRPr="00900C57" w:rsidRDefault="00C531DF">
            <w:pPr>
              <w:rPr>
                <w:color w:val="auto"/>
              </w:rPr>
            </w:pPr>
            <w:r w:rsidRPr="00900C57">
              <w:rPr>
                <w:color w:val="auto"/>
              </w:rPr>
              <w:t>Posėdžio sekretorė</w:t>
            </w:r>
          </w:p>
          <w:p w14:paraId="5BB859EE" w14:textId="77777777" w:rsidR="00C531DF" w:rsidRPr="00900C57" w:rsidRDefault="00C531DF">
            <w:pPr>
              <w:rPr>
                <w:color w:val="auto"/>
              </w:rPr>
            </w:pPr>
          </w:p>
        </w:tc>
        <w:tc>
          <w:tcPr>
            <w:tcW w:w="5386" w:type="dxa"/>
          </w:tcPr>
          <w:p w14:paraId="19F424B5" w14:textId="42EEFA5F" w:rsidR="00C531DF" w:rsidRPr="00900C57" w:rsidRDefault="009B297B">
            <w:pPr>
              <w:jc w:val="right"/>
              <w:rPr>
                <w:color w:val="auto"/>
              </w:rPr>
            </w:pPr>
            <w:r w:rsidRPr="00900C57">
              <w:rPr>
                <w:color w:val="auto"/>
              </w:rPr>
              <w:t>Nijolė Milašienė</w:t>
            </w:r>
          </w:p>
        </w:tc>
        <w:tc>
          <w:tcPr>
            <w:tcW w:w="5386" w:type="dxa"/>
          </w:tcPr>
          <w:p w14:paraId="4A5EDF98" w14:textId="5B2AF489" w:rsidR="00C531DF" w:rsidRPr="00900C57" w:rsidRDefault="00C531DF">
            <w:pPr>
              <w:jc w:val="right"/>
              <w:rPr>
                <w:color w:val="auto"/>
              </w:rPr>
            </w:pPr>
            <w:r w:rsidRPr="00900C57">
              <w:rPr>
                <w:color w:val="auto"/>
              </w:rPr>
              <w:t>Lina Matulaitė</w:t>
            </w:r>
          </w:p>
        </w:tc>
        <w:tc>
          <w:tcPr>
            <w:tcW w:w="5140" w:type="dxa"/>
            <w:shd w:val="clear" w:color="auto" w:fill="auto"/>
          </w:tcPr>
          <w:p w14:paraId="34B4A5C8" w14:textId="77777777" w:rsidR="00C531DF" w:rsidRPr="00900C57" w:rsidRDefault="00C531DF">
            <w:pPr>
              <w:jc w:val="right"/>
              <w:rPr>
                <w:color w:val="auto"/>
              </w:rPr>
            </w:pPr>
          </w:p>
        </w:tc>
      </w:tr>
    </w:tbl>
    <w:p w14:paraId="2F4CF323" w14:textId="77777777" w:rsidR="002D6B51" w:rsidRPr="00900C57" w:rsidRDefault="002D6B51">
      <w:pPr>
        <w:jc w:val="both"/>
        <w:rPr>
          <w:color w:val="auto"/>
        </w:rPr>
      </w:pPr>
    </w:p>
    <w:sectPr w:rsidR="002D6B51" w:rsidRPr="00900C57" w:rsidSect="00C5183D">
      <w:headerReference w:type="default" r:id="rId8"/>
      <w:headerReference w:type="first" r:id="rId9"/>
      <w:pgSz w:w="11906" w:h="16838"/>
      <w:pgMar w:top="1135" w:right="707" w:bottom="1418"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236A" w14:textId="77777777" w:rsidR="00C5183D" w:rsidRDefault="00C5183D">
      <w:r>
        <w:separator/>
      </w:r>
    </w:p>
  </w:endnote>
  <w:endnote w:type="continuationSeparator" w:id="0">
    <w:p w14:paraId="6BA7E39F" w14:textId="77777777" w:rsidR="00C5183D" w:rsidRDefault="00C5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555C" w14:textId="77777777" w:rsidR="00C5183D" w:rsidRDefault="00C5183D">
      <w:r>
        <w:separator/>
      </w:r>
    </w:p>
  </w:footnote>
  <w:footnote w:type="continuationSeparator" w:id="0">
    <w:p w14:paraId="124AA676" w14:textId="77777777" w:rsidR="00C5183D" w:rsidRDefault="00C5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C4D1" w14:textId="77777777" w:rsidR="002D6B51" w:rsidRDefault="000A7BFE">
    <w:pPr>
      <w:pBdr>
        <w:top w:val="nil"/>
        <w:left w:val="nil"/>
        <w:bottom w:val="nil"/>
        <w:right w:val="nil"/>
        <w:between w:val="nil"/>
      </w:pBdr>
      <w:tabs>
        <w:tab w:val="center" w:pos="4819"/>
        <w:tab w:val="right" w:pos="9638"/>
      </w:tabs>
      <w:jc w:val="center"/>
    </w:pPr>
    <w:r>
      <w:fldChar w:fldCharType="begin"/>
    </w:r>
    <w:r>
      <w:instrText>PAGE</w:instrText>
    </w:r>
    <w:r>
      <w:fldChar w:fldCharType="separate"/>
    </w:r>
    <w:r>
      <w:rPr>
        <w:noProof/>
      </w:rPr>
      <w:t>2</w:t>
    </w:r>
    <w:r>
      <w:fldChar w:fldCharType="end"/>
    </w:r>
    <w:r>
      <w:t xml:space="preserve"> </w:t>
    </w:r>
  </w:p>
  <w:p w14:paraId="5A0359FE" w14:textId="77777777" w:rsidR="002D6B51" w:rsidRDefault="002D6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9830" w14:textId="77777777" w:rsidR="002D6B51" w:rsidRDefault="000A7BFE">
    <w:pPr>
      <w:pBdr>
        <w:top w:val="nil"/>
        <w:left w:val="nil"/>
        <w:bottom w:val="nil"/>
        <w:right w:val="nil"/>
        <w:between w:val="nil"/>
      </w:pBdr>
      <w:tabs>
        <w:tab w:val="center" w:pos="4819"/>
        <w:tab w:val="right" w:pos="9638"/>
      </w:tabs>
      <w:jc w:val="right"/>
    </w:pPr>
    <w:r>
      <w:t xml:space="preserve"> </w:t>
    </w:r>
  </w:p>
  <w:p w14:paraId="5BA71AD0" w14:textId="77777777" w:rsidR="002D6B51" w:rsidRDefault="002D6B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80724"/>
    <w:multiLevelType w:val="multilevel"/>
    <w:tmpl w:val="2E76AD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C017E3C"/>
    <w:multiLevelType w:val="multilevel"/>
    <w:tmpl w:val="88A462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rFonts w:ascii="Times New Roman" w:eastAsia="Times New Roman" w:hAnsi="Times New Roman" w:cs="Times New Roman"/>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86716363">
    <w:abstractNumId w:val="0"/>
  </w:num>
  <w:num w:numId="2" w16cid:durableId="172008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51"/>
    <w:rsid w:val="00017053"/>
    <w:rsid w:val="00032D1E"/>
    <w:rsid w:val="000600DC"/>
    <w:rsid w:val="00070801"/>
    <w:rsid w:val="000A7BFE"/>
    <w:rsid w:val="000B0EB1"/>
    <w:rsid w:val="000C5AAA"/>
    <w:rsid w:val="00124284"/>
    <w:rsid w:val="0015167A"/>
    <w:rsid w:val="00170053"/>
    <w:rsid w:val="00184269"/>
    <w:rsid w:val="00223652"/>
    <w:rsid w:val="00226F85"/>
    <w:rsid w:val="00236F02"/>
    <w:rsid w:val="0025107B"/>
    <w:rsid w:val="0029639F"/>
    <w:rsid w:val="002C0FAF"/>
    <w:rsid w:val="002C2A31"/>
    <w:rsid w:val="002D6B51"/>
    <w:rsid w:val="003000FC"/>
    <w:rsid w:val="00347011"/>
    <w:rsid w:val="003A0D07"/>
    <w:rsid w:val="003B77B5"/>
    <w:rsid w:val="00427C87"/>
    <w:rsid w:val="00536B61"/>
    <w:rsid w:val="005607EF"/>
    <w:rsid w:val="00560988"/>
    <w:rsid w:val="00576DA6"/>
    <w:rsid w:val="005B2F17"/>
    <w:rsid w:val="005E6813"/>
    <w:rsid w:val="00604423"/>
    <w:rsid w:val="00607ADB"/>
    <w:rsid w:val="006459FD"/>
    <w:rsid w:val="00695F7E"/>
    <w:rsid w:val="006B01FB"/>
    <w:rsid w:val="006B26F2"/>
    <w:rsid w:val="006C7F32"/>
    <w:rsid w:val="00715C21"/>
    <w:rsid w:val="00733C2D"/>
    <w:rsid w:val="007510D2"/>
    <w:rsid w:val="00776036"/>
    <w:rsid w:val="007C02A2"/>
    <w:rsid w:val="00805203"/>
    <w:rsid w:val="00807B70"/>
    <w:rsid w:val="00821948"/>
    <w:rsid w:val="00832A50"/>
    <w:rsid w:val="00851001"/>
    <w:rsid w:val="00875BD2"/>
    <w:rsid w:val="008839CA"/>
    <w:rsid w:val="00900C57"/>
    <w:rsid w:val="00912F41"/>
    <w:rsid w:val="00955B9D"/>
    <w:rsid w:val="0097314E"/>
    <w:rsid w:val="00980E78"/>
    <w:rsid w:val="009B297B"/>
    <w:rsid w:val="009D118A"/>
    <w:rsid w:val="009E3276"/>
    <w:rsid w:val="009F24B5"/>
    <w:rsid w:val="00A43589"/>
    <w:rsid w:val="00A5075F"/>
    <w:rsid w:val="00A64265"/>
    <w:rsid w:val="00AD1894"/>
    <w:rsid w:val="00B2022A"/>
    <w:rsid w:val="00B53D26"/>
    <w:rsid w:val="00B67445"/>
    <w:rsid w:val="00BA29F8"/>
    <w:rsid w:val="00BA5D12"/>
    <w:rsid w:val="00C117F3"/>
    <w:rsid w:val="00C4799D"/>
    <w:rsid w:val="00C5183D"/>
    <w:rsid w:val="00C531DF"/>
    <w:rsid w:val="00C538E6"/>
    <w:rsid w:val="00CA3E73"/>
    <w:rsid w:val="00CC4D7A"/>
    <w:rsid w:val="00CD4EC3"/>
    <w:rsid w:val="00D01B67"/>
    <w:rsid w:val="00D0672A"/>
    <w:rsid w:val="00D71A35"/>
    <w:rsid w:val="00D73B37"/>
    <w:rsid w:val="00D81AEA"/>
    <w:rsid w:val="00DA5919"/>
    <w:rsid w:val="00DB277A"/>
    <w:rsid w:val="00DC74A0"/>
    <w:rsid w:val="00E4588A"/>
    <w:rsid w:val="00E56CE8"/>
    <w:rsid w:val="00E70EDF"/>
    <w:rsid w:val="00E77CC5"/>
    <w:rsid w:val="00EB299A"/>
    <w:rsid w:val="00F20AAF"/>
    <w:rsid w:val="00F5474E"/>
    <w:rsid w:val="00F60C0D"/>
    <w:rsid w:val="00F85E64"/>
    <w:rsid w:val="00FB3124"/>
    <w:rsid w:val="00FC0085"/>
    <w:rsid w:val="00FC4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8167"/>
  <w15:docId w15:val="{D485BF97-FF44-48EF-A142-B3418B60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agrindiniotekstotrauka">
    <w:name w:val="Body Text Indent"/>
    <w:basedOn w:val="prastasis"/>
    <w:link w:val="PagrindiniotekstotraukaDiagrama"/>
    <w:rsid w:val="00DB277A"/>
    <w:pPr>
      <w:ind w:firstLine="720"/>
    </w:pPr>
    <w:rPr>
      <w:color w:val="auto"/>
      <w:lang w:eastAsia="en-US"/>
    </w:rPr>
  </w:style>
  <w:style w:type="character" w:customStyle="1" w:styleId="PagrindiniotekstotraukaDiagrama">
    <w:name w:val="Pagrindinio teksto įtrauka Diagrama"/>
    <w:basedOn w:val="Numatytasispastraiposriftas"/>
    <w:link w:val="Pagrindiniotekstotrauka"/>
    <w:rsid w:val="00DB277A"/>
    <w:rPr>
      <w:color w:val="auto"/>
      <w:lang w:eastAsia="en-US"/>
    </w:rPr>
  </w:style>
  <w:style w:type="paragraph" w:styleId="Betarp">
    <w:name w:val="No Spacing"/>
    <w:uiPriority w:val="1"/>
    <w:qFormat/>
    <w:rsid w:val="00536B61"/>
    <w:rPr>
      <w:rFonts w:ascii="Calibri" w:eastAsiaTheme="minorHAnsi" w:hAnsi="Calibri" w:cs="Calibri"/>
      <w:color w:val="auto"/>
      <w:sz w:val="22"/>
      <w:szCs w:val="22"/>
    </w:rPr>
  </w:style>
  <w:style w:type="character" w:styleId="Hipersaitas">
    <w:name w:val="Hyperlink"/>
    <w:basedOn w:val="Numatytasispastraiposriftas"/>
    <w:uiPriority w:val="99"/>
    <w:unhideWhenUsed/>
    <w:rsid w:val="00B53D26"/>
    <w:rPr>
      <w:color w:val="0000FF" w:themeColor="hyperlink"/>
      <w:u w:val="single"/>
    </w:rPr>
  </w:style>
  <w:style w:type="character" w:styleId="Neapdorotaspaminjimas">
    <w:name w:val="Unresolved Mention"/>
    <w:basedOn w:val="Numatytasispastraiposriftas"/>
    <w:uiPriority w:val="99"/>
    <w:semiHidden/>
    <w:unhideWhenUsed/>
    <w:rsid w:val="00B53D26"/>
    <w:rPr>
      <w:color w:val="605E5C"/>
      <w:shd w:val="clear" w:color="auto" w:fill="E1DFDD"/>
    </w:rPr>
  </w:style>
  <w:style w:type="paragraph" w:styleId="Sraopastraipa">
    <w:name w:val="List Paragraph"/>
    <w:basedOn w:val="prastasis"/>
    <w:uiPriority w:val="34"/>
    <w:qFormat/>
    <w:rsid w:val="00427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jIlnFq9PV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5308</Words>
  <Characters>3026</Characters>
  <Application>Microsoft Office Word</Application>
  <DocSecurity>0</DocSecurity>
  <Lines>25</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26</cp:revision>
  <cp:lastPrinted>2023-08-28T07:07:00Z</cp:lastPrinted>
  <dcterms:created xsi:type="dcterms:W3CDTF">2024-02-12T07:39:00Z</dcterms:created>
  <dcterms:modified xsi:type="dcterms:W3CDTF">2024-02-20T10:06:00Z</dcterms:modified>
</cp:coreProperties>
</file>