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A787" w14:textId="4C4F31A1" w:rsidR="00B0768D" w:rsidRDefault="00B0768D" w:rsidP="00197604">
      <w:pPr>
        <w:spacing w:after="0" w:line="240" w:lineRule="auto"/>
        <w:jc w:val="both"/>
        <w:rPr>
          <w:rStyle w:val="Strong"/>
          <w:lang w:eastAsia="lt-LT"/>
        </w:rPr>
      </w:pPr>
      <w:r w:rsidRPr="001916FD">
        <w:rPr>
          <w:rStyle w:val="Strong"/>
        </w:rPr>
        <w:t xml:space="preserve">DĖL </w:t>
      </w:r>
      <w:r w:rsidRPr="001916FD">
        <w:rPr>
          <w:rStyle w:val="Strong"/>
          <w:lang w:eastAsia="lt-LT"/>
        </w:rPr>
        <w:t xml:space="preserve">SKLYPO </w:t>
      </w:r>
      <w:r w:rsidR="00CC2C67">
        <w:rPr>
          <w:rStyle w:val="Strong"/>
          <w:lang w:eastAsia="lt-LT"/>
        </w:rPr>
        <w:t xml:space="preserve">PYLIMĖLIŲ </w:t>
      </w:r>
      <w:r w:rsidRPr="001916FD">
        <w:rPr>
          <w:rStyle w:val="Strong"/>
          <w:lang w:eastAsia="lt-LT"/>
        </w:rPr>
        <w:t xml:space="preserve">G. </w:t>
      </w:r>
      <w:r w:rsidR="00CC2C67">
        <w:rPr>
          <w:rStyle w:val="Strong"/>
          <w:lang w:eastAsia="lt-LT"/>
        </w:rPr>
        <w:t>30</w:t>
      </w:r>
      <w:r w:rsidR="001916FD" w:rsidRPr="001916FD">
        <w:rPr>
          <w:rStyle w:val="Strong"/>
          <w:lang w:eastAsia="lt-LT"/>
        </w:rPr>
        <w:t xml:space="preserve"> </w:t>
      </w:r>
      <w:r w:rsidRPr="001916FD">
        <w:rPr>
          <w:rStyle w:val="Strong"/>
          <w:lang w:eastAsia="lt-LT"/>
        </w:rPr>
        <w:t xml:space="preserve">DETALIOJO PLANO </w:t>
      </w:r>
      <w:r w:rsidR="00CC2C67">
        <w:rPr>
          <w:rStyle w:val="Strong"/>
          <w:lang w:eastAsia="lt-LT"/>
        </w:rPr>
        <w:t xml:space="preserve">SKLYPŲ NR. 1 IR NR. 2, PERTVARKYTŲ SKLYPO PYLIMĖLIŲ G. 30 PLANU, PRILYGINAMU DETALIOJO TERITORIJŲ PLANAVIMO DOKUMENTUI, </w:t>
      </w:r>
      <w:r w:rsidRPr="001916FD">
        <w:rPr>
          <w:rStyle w:val="Strong"/>
          <w:lang w:eastAsia="lt-LT"/>
        </w:rPr>
        <w:t xml:space="preserve">SPRENDINIŲ </w:t>
      </w:r>
      <w:r w:rsidR="001916FD" w:rsidRPr="001916FD">
        <w:rPr>
          <w:rStyle w:val="Strong"/>
          <w:lang w:eastAsia="lt-LT"/>
        </w:rPr>
        <w:t>KEITIMO</w:t>
      </w:r>
      <w:r w:rsidR="00CC2C67">
        <w:rPr>
          <w:rStyle w:val="Strong"/>
          <w:lang w:eastAsia="lt-LT"/>
        </w:rPr>
        <w:t xml:space="preserve"> SKLYPUOSE PYLIMĖLIŲ G. 30, PYLIMĖLIŲ G. 30A IR PYLIMĖLIŲ G. 30B INICIJAVIMO PAGRINDU</w:t>
      </w:r>
    </w:p>
    <w:p w14:paraId="527F3204" w14:textId="77777777" w:rsidR="001D49A0" w:rsidRPr="001916FD" w:rsidRDefault="001D49A0" w:rsidP="00197604">
      <w:pPr>
        <w:spacing w:after="0" w:line="240" w:lineRule="auto"/>
        <w:jc w:val="both"/>
        <w:rPr>
          <w:rStyle w:val="Strong"/>
        </w:rPr>
      </w:pPr>
    </w:p>
    <w:p w14:paraId="23F716CE" w14:textId="33E03EE4" w:rsidR="00B0768D" w:rsidRPr="001916FD" w:rsidRDefault="00B0768D" w:rsidP="001D49A0">
      <w:pPr>
        <w:pStyle w:val="NormalWeb"/>
        <w:spacing w:before="140" w:beforeAutospacing="0" w:after="160" w:afterAutospacing="0"/>
        <w:jc w:val="both"/>
        <w:rPr>
          <w:rStyle w:val="Strong"/>
        </w:rPr>
      </w:pPr>
      <w:r w:rsidRPr="001916FD">
        <w:rPr>
          <w:rStyle w:val="Strong"/>
          <w:bCs w:val="0"/>
        </w:rPr>
        <w:t xml:space="preserve">Informuojame apie rengiamą </w:t>
      </w:r>
      <w:r w:rsidR="001916FD" w:rsidRPr="001916FD">
        <w:rPr>
          <w:rStyle w:val="Strong"/>
          <w:bCs w:val="0"/>
        </w:rPr>
        <w:t>S</w:t>
      </w:r>
      <w:r w:rsidRPr="001916FD">
        <w:rPr>
          <w:rStyle w:val="Strong"/>
        </w:rPr>
        <w:t xml:space="preserve">klypo </w:t>
      </w:r>
      <w:r w:rsidR="00CC2C67">
        <w:rPr>
          <w:rStyle w:val="Strong"/>
        </w:rPr>
        <w:t>Pylimėlių</w:t>
      </w:r>
      <w:r w:rsidRPr="001916FD">
        <w:rPr>
          <w:rStyle w:val="Strong"/>
        </w:rPr>
        <w:t xml:space="preserve"> g.</w:t>
      </w:r>
      <w:r w:rsidR="001916FD" w:rsidRPr="001916FD">
        <w:rPr>
          <w:rStyle w:val="Strong"/>
        </w:rPr>
        <w:t xml:space="preserve"> </w:t>
      </w:r>
      <w:r w:rsidR="00CC2C67">
        <w:rPr>
          <w:rStyle w:val="Strong"/>
        </w:rPr>
        <w:t>30</w:t>
      </w:r>
      <w:r w:rsidRPr="001916FD">
        <w:rPr>
          <w:rStyle w:val="Strong"/>
        </w:rPr>
        <w:t xml:space="preserve"> detaliojo plano </w:t>
      </w:r>
      <w:r w:rsidR="00CC2C67">
        <w:rPr>
          <w:rStyle w:val="Strong"/>
        </w:rPr>
        <w:t xml:space="preserve">sklypų Nr. 1 ir Nr. 2, pertvarkytų sklypo Pylimėlių g. 30 planu, prilyginamu detaliojo teritorijų planavimo dokumentui, </w:t>
      </w:r>
      <w:r w:rsidRPr="001916FD">
        <w:rPr>
          <w:rStyle w:val="Strong"/>
        </w:rPr>
        <w:t>sprendinių k</w:t>
      </w:r>
      <w:r w:rsidR="001916FD" w:rsidRPr="001916FD">
        <w:rPr>
          <w:rStyle w:val="Strong"/>
        </w:rPr>
        <w:t>eitimą</w:t>
      </w:r>
      <w:r w:rsidRPr="001916FD">
        <w:rPr>
          <w:rStyle w:val="Strong"/>
        </w:rPr>
        <w:t xml:space="preserve"> </w:t>
      </w:r>
      <w:r w:rsidR="00CC2C67">
        <w:rPr>
          <w:rStyle w:val="Strong"/>
        </w:rPr>
        <w:t xml:space="preserve">sklypuose Pylimėlių g. 30, Pylimėlių g. 30A ir Pylimėlių g. 30B </w:t>
      </w:r>
      <w:r w:rsidRPr="001916FD">
        <w:rPr>
          <w:rStyle w:val="Strong"/>
        </w:rPr>
        <w:t>inicijavimo pagrindu.</w:t>
      </w:r>
    </w:p>
    <w:p w14:paraId="0B0092C5" w14:textId="6C625AC9" w:rsidR="001916FD" w:rsidRPr="001916FD" w:rsidRDefault="00B0768D" w:rsidP="001D49A0">
      <w:pPr>
        <w:pStyle w:val="NormalWeb"/>
        <w:spacing w:before="140" w:beforeAutospacing="0" w:after="160" w:afterAutospacing="0"/>
        <w:jc w:val="both"/>
      </w:pPr>
      <w:r w:rsidRPr="001916FD">
        <w:rPr>
          <w:b/>
          <w:bCs/>
        </w:rPr>
        <w:t>Planuojama teritorija, plotas</w:t>
      </w:r>
      <w:r w:rsidRPr="001916FD">
        <w:t xml:space="preserve">: </w:t>
      </w:r>
      <w:r w:rsidR="001916FD" w:rsidRPr="001916FD">
        <w:t>0,</w:t>
      </w:r>
      <w:r w:rsidR="00CC2C67">
        <w:t>2437</w:t>
      </w:r>
      <w:r w:rsidR="001916FD" w:rsidRPr="001916FD">
        <w:t xml:space="preserve"> ha ploto teritorija, apimanti žemės sklypus </w:t>
      </w:r>
      <w:r w:rsidR="00CC2C67">
        <w:t>Pylimėlių</w:t>
      </w:r>
      <w:r w:rsidR="001916FD" w:rsidRPr="001916FD">
        <w:t xml:space="preserve"> g. </w:t>
      </w:r>
      <w:r w:rsidR="00CC2C67">
        <w:t>30</w:t>
      </w:r>
      <w:r w:rsidR="001916FD" w:rsidRPr="001916FD">
        <w:t xml:space="preserve"> (kadastro Nr. 0101/00</w:t>
      </w:r>
      <w:r w:rsidR="00CC2C67">
        <w:t>26:57</w:t>
      </w:r>
      <w:r w:rsidR="001916FD" w:rsidRPr="001916FD">
        <w:t xml:space="preserve">), </w:t>
      </w:r>
      <w:r w:rsidR="00CC2C67">
        <w:t>Pylimėlių</w:t>
      </w:r>
      <w:r w:rsidR="001916FD" w:rsidRPr="001916FD">
        <w:t xml:space="preserve"> g. </w:t>
      </w:r>
      <w:r w:rsidR="00CC2C67">
        <w:t>30A</w:t>
      </w:r>
      <w:r w:rsidR="001916FD" w:rsidRPr="001916FD">
        <w:t xml:space="preserve"> (kadastro Nr. 0101/00</w:t>
      </w:r>
      <w:r w:rsidR="00CC2C67">
        <w:t>26</w:t>
      </w:r>
      <w:r w:rsidR="001916FD" w:rsidRPr="001916FD">
        <w:t>:</w:t>
      </w:r>
      <w:r w:rsidR="00D53599">
        <w:t>50</w:t>
      </w:r>
      <w:r w:rsidR="001916FD" w:rsidRPr="001916FD">
        <w:t xml:space="preserve">), </w:t>
      </w:r>
      <w:r w:rsidR="00CC2C67">
        <w:t>Pylimėlių</w:t>
      </w:r>
      <w:r w:rsidR="001916FD" w:rsidRPr="001916FD">
        <w:t xml:space="preserve"> g. </w:t>
      </w:r>
      <w:r w:rsidR="00CC2C67">
        <w:t>30B</w:t>
      </w:r>
      <w:r w:rsidR="001916FD" w:rsidRPr="001916FD">
        <w:t xml:space="preserve"> (kadastro Nr. 0101/00</w:t>
      </w:r>
      <w:r w:rsidR="00CC2C67">
        <w:t>26</w:t>
      </w:r>
      <w:r w:rsidR="001916FD" w:rsidRPr="001916FD">
        <w:t>:</w:t>
      </w:r>
      <w:r w:rsidR="00CC2C67">
        <w:t>51</w:t>
      </w:r>
      <w:r w:rsidR="001916FD" w:rsidRPr="001916FD">
        <w:t xml:space="preserve">), </w:t>
      </w:r>
      <w:r w:rsidR="00D53599">
        <w:t>Antakalnio</w:t>
      </w:r>
      <w:r w:rsidR="001916FD" w:rsidRPr="001916FD">
        <w:t xml:space="preserve"> sen., Vilniuje.</w:t>
      </w:r>
    </w:p>
    <w:p w14:paraId="541B68FC" w14:textId="5F974BFB" w:rsidR="001916FD" w:rsidRDefault="001916FD" w:rsidP="001D49A0">
      <w:pPr>
        <w:pStyle w:val="NormalWeb"/>
        <w:spacing w:before="140" w:beforeAutospacing="0" w:after="160" w:afterAutospacing="0"/>
        <w:jc w:val="both"/>
        <w:rPr>
          <w:b/>
        </w:rPr>
      </w:pPr>
      <w:r w:rsidRPr="005D3BFF">
        <w:rPr>
          <w:b/>
          <w:bCs/>
        </w:rPr>
        <w:t>Planavimo pagrindas:</w:t>
      </w:r>
      <w:r w:rsidRPr="00DD0CC0">
        <w:rPr>
          <w:shd w:val="clear" w:color="auto" w:fill="FFFFFF"/>
        </w:rPr>
        <w:t xml:space="preserve"> </w:t>
      </w:r>
      <w:r w:rsidRPr="00DD0CC0">
        <w:t xml:space="preserve">Vilniaus miesto savivaldybės administracijos direktoriaus pavaduotojo </w:t>
      </w:r>
      <w:smartTag w:uri="urn:schemas-microsoft-com:office:smarttags" w:element="metricconverter">
        <w:smartTagPr>
          <w:attr w:name="ProductID" w:val="2021 m"/>
        </w:smartTagPr>
        <w:r w:rsidRPr="00DD0CC0">
          <w:t>2021 m</w:t>
        </w:r>
      </w:smartTag>
      <w:r w:rsidRPr="00DD0CC0">
        <w:t xml:space="preserve">. </w:t>
      </w:r>
      <w:r w:rsidR="00D53599">
        <w:t>kovo</w:t>
      </w:r>
      <w:r w:rsidRPr="00DD0CC0">
        <w:t xml:space="preserve"> </w:t>
      </w:r>
      <w:r w:rsidR="00D53599">
        <w:t>30</w:t>
      </w:r>
      <w:r w:rsidRPr="00DD0CC0">
        <w:t xml:space="preserve"> d. įsakymas Nr. A30-</w:t>
      </w:r>
      <w:r w:rsidR="00D53599">
        <w:t>1058</w:t>
      </w:r>
      <w:r w:rsidRPr="00DD0CC0">
        <w:t xml:space="preserve">/21 "Dėl leidimo keisti sklypo </w:t>
      </w:r>
      <w:r w:rsidR="00D53599">
        <w:t>Pylimėlių</w:t>
      </w:r>
      <w:r w:rsidRPr="00DD0CC0">
        <w:t xml:space="preserve"> g. </w:t>
      </w:r>
      <w:r w:rsidR="00D53599">
        <w:t>30</w:t>
      </w:r>
      <w:r w:rsidRPr="00DD0CC0">
        <w:t xml:space="preserve">  detaliojo plano</w:t>
      </w:r>
      <w:r w:rsidR="00D53599">
        <w:t xml:space="preserve"> sklypų Nr. 1 </w:t>
      </w:r>
      <w:r w:rsidR="009104E2">
        <w:t>ir</w:t>
      </w:r>
      <w:r w:rsidR="00D53599">
        <w:t xml:space="preserve"> Nr. 2, pertvarkytų sklypo Pylimėlių g. 30 planu, prilyginamu detaliojo teritorijų planavimo dokumentui,</w:t>
      </w:r>
      <w:r w:rsidRPr="00DD0CC0">
        <w:t xml:space="preserve"> sprendinius </w:t>
      </w:r>
      <w:r w:rsidR="00D53599">
        <w:t xml:space="preserve">sklypuose Pylimėlių g. 30, Pylimėlių g. 30A ir Pylimėlių g. 30B </w:t>
      </w:r>
      <w:r w:rsidRPr="00DD0CC0">
        <w:t xml:space="preserve">inicijavimo pagrindu", planavimo darbų programa, 2021 m. </w:t>
      </w:r>
      <w:r w:rsidR="00D53599">
        <w:t>gegužės 14</w:t>
      </w:r>
      <w:r w:rsidRPr="00DD0CC0">
        <w:t xml:space="preserve"> d. Teritorijų planavimo proceso inicijavimo sutartis Nr. A615-</w:t>
      </w:r>
      <w:r w:rsidR="00D53599">
        <w:t>43</w:t>
      </w:r>
      <w:r w:rsidRPr="00DD0CC0">
        <w:t>/21.</w:t>
      </w:r>
    </w:p>
    <w:p w14:paraId="48899C88" w14:textId="33ED6C6C" w:rsidR="001D49A0" w:rsidRDefault="001916FD" w:rsidP="001D49A0">
      <w:pPr>
        <w:spacing w:before="140" w:after="140" w:line="240" w:lineRule="auto"/>
        <w:jc w:val="both"/>
        <w:rPr>
          <w:rFonts w:eastAsia="Times New Roman"/>
          <w:lang w:eastAsia="lt-LT"/>
        </w:rPr>
      </w:pPr>
      <w:r w:rsidRPr="00DD0CC0">
        <w:rPr>
          <w:b/>
        </w:rPr>
        <w:t>Planavimo uždaviniai</w:t>
      </w:r>
      <w:r>
        <w:rPr>
          <w:b/>
        </w:rPr>
        <w:t>:</w:t>
      </w:r>
      <w:r w:rsidRPr="00DD0CC0">
        <w:t xml:space="preserve"> </w:t>
      </w:r>
      <w:r w:rsidRPr="005D3BFF">
        <w:rPr>
          <w:rFonts w:eastAsia="Times New Roman"/>
          <w:lang w:eastAsia="lt-LT"/>
        </w:rPr>
        <w:t xml:space="preserve">keisti sklypo </w:t>
      </w:r>
      <w:r w:rsidR="00D53599">
        <w:rPr>
          <w:rFonts w:eastAsia="Times New Roman"/>
          <w:lang w:eastAsia="lt-LT"/>
        </w:rPr>
        <w:t>Pylimo</w:t>
      </w:r>
      <w:r w:rsidRPr="005D3BFF">
        <w:rPr>
          <w:rFonts w:eastAsia="Times New Roman"/>
          <w:lang w:eastAsia="lt-LT"/>
        </w:rPr>
        <w:t xml:space="preserve"> g. </w:t>
      </w:r>
      <w:r w:rsidR="00D53599">
        <w:rPr>
          <w:rFonts w:eastAsia="Times New Roman"/>
          <w:lang w:eastAsia="lt-LT"/>
        </w:rPr>
        <w:t>30</w:t>
      </w:r>
      <w:r w:rsidRPr="005D3BFF">
        <w:rPr>
          <w:rFonts w:eastAsia="Times New Roman"/>
          <w:lang w:eastAsia="lt-LT"/>
        </w:rPr>
        <w:t xml:space="preserve">  detaliojo plano</w:t>
      </w:r>
      <w:r w:rsidR="00D53599">
        <w:rPr>
          <w:rFonts w:eastAsia="Times New Roman"/>
          <w:lang w:eastAsia="lt-LT"/>
        </w:rPr>
        <w:t>,</w:t>
      </w:r>
      <w:r w:rsidRPr="005D3BFF">
        <w:rPr>
          <w:rFonts w:eastAsia="Times New Roman"/>
          <w:lang w:eastAsia="lt-LT"/>
        </w:rPr>
        <w:t xml:space="preserve"> patvirtinto </w:t>
      </w:r>
      <w:r w:rsidR="00D53599">
        <w:rPr>
          <w:rFonts w:eastAsia="Times New Roman"/>
          <w:lang w:eastAsia="lt-LT"/>
        </w:rPr>
        <w:t xml:space="preserve">Vilniaus miesto savivaldybės administracijos direktoriaus 2003 m. spalio 31 d. įsakymu Nr. </w:t>
      </w:r>
      <w:r w:rsidR="009104E2">
        <w:rPr>
          <w:rFonts w:eastAsia="Times New Roman"/>
          <w:lang w:eastAsia="lt-LT"/>
        </w:rPr>
        <w:t xml:space="preserve">01A-66-V-987 „Dėl sklypo Pylimėlių g. 30 </w:t>
      </w:r>
      <w:r w:rsidRPr="005D3BFF">
        <w:rPr>
          <w:rFonts w:eastAsia="Times New Roman"/>
          <w:lang w:eastAsia="lt-LT"/>
        </w:rPr>
        <w:t>detaliojo plano</w:t>
      </w:r>
      <w:r w:rsidR="009104E2">
        <w:rPr>
          <w:rFonts w:eastAsia="Times New Roman"/>
          <w:lang w:eastAsia="lt-LT"/>
        </w:rPr>
        <w:t xml:space="preserve"> sprendinių tvirtinimo“, sklypų Nr. 1 ir Nr. 2,</w:t>
      </w:r>
      <w:r w:rsidR="009104E2" w:rsidRPr="009104E2">
        <w:t xml:space="preserve"> </w:t>
      </w:r>
      <w:r w:rsidR="009104E2">
        <w:t>pertvarkytų sklypo Pylimėlių g. 30 planu, prilyginamu detaliojo teritorijų planavimo dokumentui,</w:t>
      </w:r>
      <w:r w:rsidRPr="005D3BFF">
        <w:rPr>
          <w:rFonts w:eastAsia="Times New Roman"/>
          <w:lang w:eastAsia="lt-LT"/>
        </w:rPr>
        <w:t xml:space="preserve"> </w:t>
      </w:r>
      <w:r w:rsidR="009104E2">
        <w:rPr>
          <w:rFonts w:eastAsia="Times New Roman"/>
          <w:lang w:eastAsia="lt-LT"/>
        </w:rPr>
        <w:t>patvirtintu Vilniaus miesto savivaldybės administracijos direktoriaus 2013 m. rugsėjo 24 d. įsakymu Nr. 30-2084 „Dėl sklypo Pylimėlių g. 30 plano, prilyginamo detaliojo teritorijų planavimo dokumentui, tvirtinimo“, sprendinius sklypuose Pylimėlių g. 30, Pylimėlių g. 30A ir Pylimėlių g. 30B inicijavimo pagrindu</w:t>
      </w:r>
      <w:r w:rsidRPr="005D3BFF">
        <w:rPr>
          <w:rFonts w:eastAsia="Times New Roman"/>
          <w:lang w:eastAsia="lt-LT"/>
        </w:rPr>
        <w:t>: sujungti sklypus</w:t>
      </w:r>
      <w:r w:rsidR="00AD1B3D">
        <w:rPr>
          <w:rFonts w:eastAsia="Times New Roman"/>
          <w:lang w:eastAsia="lt-LT"/>
        </w:rPr>
        <w:t xml:space="preserve"> Pylimėlių</w:t>
      </w:r>
      <w:r w:rsidRPr="005D3BFF">
        <w:rPr>
          <w:rFonts w:eastAsia="Times New Roman"/>
          <w:lang w:eastAsia="lt-LT"/>
        </w:rPr>
        <w:t xml:space="preserve"> g. </w:t>
      </w:r>
      <w:r w:rsidR="00AD1B3D">
        <w:rPr>
          <w:rFonts w:eastAsia="Times New Roman"/>
          <w:lang w:eastAsia="lt-LT"/>
        </w:rPr>
        <w:t>30</w:t>
      </w:r>
      <w:r w:rsidRPr="005D3BFF">
        <w:rPr>
          <w:rFonts w:eastAsia="Times New Roman"/>
          <w:lang w:eastAsia="lt-LT"/>
        </w:rPr>
        <w:t xml:space="preserve"> ir </w:t>
      </w:r>
      <w:r w:rsidR="00AD1B3D">
        <w:rPr>
          <w:rFonts w:eastAsia="Times New Roman"/>
          <w:lang w:eastAsia="lt-LT"/>
        </w:rPr>
        <w:t>Pylimėlių</w:t>
      </w:r>
      <w:r w:rsidRPr="005D3BFF">
        <w:rPr>
          <w:rFonts w:eastAsia="Times New Roman"/>
          <w:lang w:eastAsia="lt-LT"/>
        </w:rPr>
        <w:t xml:space="preserve"> g. </w:t>
      </w:r>
      <w:r w:rsidR="00AD1B3D">
        <w:rPr>
          <w:rFonts w:eastAsia="Times New Roman"/>
          <w:lang w:eastAsia="lt-LT"/>
        </w:rPr>
        <w:t>30</w:t>
      </w:r>
      <w:r w:rsidRPr="005D3BFF">
        <w:rPr>
          <w:rFonts w:eastAsia="Times New Roman"/>
          <w:lang w:eastAsia="lt-LT"/>
        </w:rPr>
        <w:t>B</w:t>
      </w:r>
      <w:r w:rsidR="00AD1B3D">
        <w:rPr>
          <w:rFonts w:eastAsia="Times New Roman"/>
          <w:lang w:eastAsia="lt-LT"/>
        </w:rPr>
        <w:t xml:space="preserve"> į vieną sklypą, pakeisti naudojimo būdą į daugiabučių gyvenamųjų pastatų ir bendrabučių</w:t>
      </w:r>
      <w:r w:rsidRPr="005D3BFF">
        <w:rPr>
          <w:rFonts w:eastAsia="Times New Roman"/>
          <w:lang w:eastAsia="lt-LT"/>
        </w:rPr>
        <w:t xml:space="preserve"> </w:t>
      </w:r>
      <w:r w:rsidR="00F3156E">
        <w:rPr>
          <w:rFonts w:eastAsia="Times New Roman"/>
          <w:lang w:eastAsia="lt-LT"/>
        </w:rPr>
        <w:t>gyvenamųjų pastatų  ir bendrabučių teritorijos bei</w:t>
      </w:r>
      <w:r w:rsidRPr="005D3BFF">
        <w:rPr>
          <w:rFonts w:eastAsia="Times New Roman"/>
          <w:lang w:eastAsia="lt-LT"/>
        </w:rPr>
        <w:t xml:space="preserve"> nustatyti </w:t>
      </w:r>
      <w:r w:rsidR="00F3156E">
        <w:rPr>
          <w:rFonts w:eastAsia="Times New Roman"/>
          <w:lang w:eastAsia="lt-LT"/>
        </w:rPr>
        <w:t>teritorijos naudojimo reglamentus. Vadovaujantis Vilniaus miesto Bendrojo plano sprendiniais (</w:t>
      </w:r>
      <w:proofErr w:type="spellStart"/>
      <w:r w:rsidR="00F3156E">
        <w:rPr>
          <w:rFonts w:eastAsia="Times New Roman"/>
          <w:lang w:eastAsia="lt-LT"/>
        </w:rPr>
        <w:t>Reg</w:t>
      </w:r>
      <w:proofErr w:type="spellEnd"/>
      <w:r w:rsidR="00F3156E">
        <w:rPr>
          <w:rFonts w:eastAsia="Times New Roman"/>
          <w:lang w:eastAsia="lt-LT"/>
        </w:rPr>
        <w:t xml:space="preserve">. Nr. 1881) šie sklypai patenka į zoną „mažo užstatymo intensyvumo gyvenamosios teritorijos“. </w:t>
      </w:r>
    </w:p>
    <w:p w14:paraId="42DC05A2" w14:textId="608A4CDA" w:rsidR="001916FD" w:rsidRPr="00DD0CC0" w:rsidRDefault="001916FD" w:rsidP="001D49A0">
      <w:pPr>
        <w:spacing w:before="140" w:after="160" w:line="240" w:lineRule="auto"/>
        <w:jc w:val="both"/>
      </w:pPr>
      <w:r w:rsidRPr="00F3156E">
        <w:rPr>
          <w:b/>
        </w:rPr>
        <w:t>Papildomi planavimo uždaviniai</w:t>
      </w:r>
      <w:r w:rsidRPr="00DD0CC0">
        <w:t xml:space="preserve"> </w:t>
      </w:r>
      <w:r w:rsidR="00F3156E" w:rsidRPr="00F3156E">
        <w:rPr>
          <w:b/>
          <w:bCs/>
        </w:rPr>
        <w:t>ir papildomi reglamentai</w:t>
      </w:r>
      <w:r w:rsidR="00F3156E">
        <w:t xml:space="preserve"> –</w:t>
      </w:r>
      <w:r w:rsidRPr="00DD0CC0">
        <w:t xml:space="preserve"> </w:t>
      </w:r>
      <w:r w:rsidR="00F3156E">
        <w:t>nereikalingi ir nenustatomi.</w:t>
      </w:r>
    </w:p>
    <w:p w14:paraId="60AE4F61" w14:textId="409E2F5C" w:rsidR="001916FD" w:rsidRPr="00DD0CC0" w:rsidRDefault="001916FD" w:rsidP="001D49A0">
      <w:pPr>
        <w:pStyle w:val="Default"/>
        <w:spacing w:before="140" w:after="160"/>
        <w:jc w:val="both"/>
        <w:rPr>
          <w:color w:val="auto"/>
        </w:rPr>
      </w:pPr>
      <w:r w:rsidRPr="00DD0CC0">
        <w:rPr>
          <w:b/>
          <w:color w:val="auto"/>
          <w:lang w:eastAsia="ar-SA"/>
        </w:rPr>
        <w:t>Planavimo organizatorius</w:t>
      </w:r>
      <w:r>
        <w:rPr>
          <w:b/>
          <w:color w:val="auto"/>
          <w:lang w:eastAsia="ar-SA"/>
        </w:rPr>
        <w:t>:</w:t>
      </w:r>
      <w:r w:rsidRPr="00DD0CC0">
        <w:rPr>
          <w:b/>
          <w:color w:val="auto"/>
        </w:rPr>
        <w:t xml:space="preserve"> </w:t>
      </w:r>
      <w:r w:rsidRPr="00DD0CC0">
        <w:rPr>
          <w:color w:val="auto"/>
        </w:rPr>
        <w:t>Vilniaus miesto savivaldybės administracij</w:t>
      </w:r>
      <w:r w:rsidR="00F3156E">
        <w:rPr>
          <w:color w:val="auto"/>
        </w:rPr>
        <w:t>os direktorius</w:t>
      </w:r>
      <w:r w:rsidRPr="00DD0CC0">
        <w:rPr>
          <w:color w:val="auto"/>
        </w:rPr>
        <w:t>, Konstitucijos pr. 3,</w:t>
      </w:r>
      <w:r w:rsidR="00F3156E">
        <w:rPr>
          <w:color w:val="auto"/>
        </w:rPr>
        <w:t xml:space="preserve"> LT-</w:t>
      </w:r>
      <w:r w:rsidRPr="00DD0CC0">
        <w:rPr>
          <w:color w:val="auto"/>
        </w:rPr>
        <w:t xml:space="preserve">09601 Vilnius, </w:t>
      </w:r>
      <w:hyperlink r:id="rId4" w:history="1">
        <w:r w:rsidRPr="00DD0CC0">
          <w:rPr>
            <w:color w:val="auto"/>
          </w:rPr>
          <w:t>www.vilnius.lt</w:t>
        </w:r>
      </w:hyperlink>
      <w:r w:rsidRPr="00DD0CC0">
        <w:rPr>
          <w:color w:val="auto"/>
        </w:rPr>
        <w:t>, kontaktinis</w:t>
      </w:r>
      <w:r w:rsidR="00E40452" w:rsidRPr="00E40452">
        <w:rPr>
          <w:rFonts w:eastAsia="Times New Roman"/>
        </w:rPr>
        <w:t xml:space="preserve"> </w:t>
      </w:r>
      <w:r w:rsidR="00E40452">
        <w:rPr>
          <w:rFonts w:eastAsia="Times New Roman"/>
        </w:rPr>
        <w:t>asmuo Detaliojo planavimo ir architektūros poskyrio vyr. specialistas</w:t>
      </w:r>
      <w:r w:rsidRPr="00DD0CC0">
        <w:rPr>
          <w:color w:val="auto"/>
        </w:rPr>
        <w:t xml:space="preserve"> </w:t>
      </w:r>
      <w:r w:rsidR="00E40452">
        <w:rPr>
          <w:color w:val="auto"/>
        </w:rPr>
        <w:t xml:space="preserve">Gintaras Kuodis, </w:t>
      </w:r>
      <w:r w:rsidRPr="00DD0CC0">
        <w:rPr>
          <w:color w:val="auto"/>
        </w:rPr>
        <w:t>tel. (8</w:t>
      </w:r>
      <w:r w:rsidR="00E40452">
        <w:rPr>
          <w:color w:val="auto"/>
        </w:rPr>
        <w:t xml:space="preserve"> </w:t>
      </w:r>
      <w:r w:rsidRPr="00DD0CC0">
        <w:rPr>
          <w:color w:val="auto"/>
        </w:rPr>
        <w:t>5) 211</w:t>
      </w:r>
      <w:r w:rsidR="00E40452">
        <w:rPr>
          <w:color w:val="auto"/>
        </w:rPr>
        <w:t>2677</w:t>
      </w:r>
      <w:r w:rsidRPr="00DD0CC0">
        <w:rPr>
          <w:color w:val="auto"/>
        </w:rPr>
        <w:t xml:space="preserve">, el. p. </w:t>
      </w:r>
      <w:proofErr w:type="spellStart"/>
      <w:r w:rsidR="00E40452">
        <w:rPr>
          <w:color w:val="auto"/>
        </w:rPr>
        <w:t>gintaras</w:t>
      </w:r>
      <w:r w:rsidRPr="00DD0CC0">
        <w:rPr>
          <w:color w:val="auto"/>
        </w:rPr>
        <w:t>.</w:t>
      </w:r>
      <w:r w:rsidR="00E40452">
        <w:rPr>
          <w:color w:val="auto"/>
        </w:rPr>
        <w:t>kuodis</w:t>
      </w:r>
      <w:r w:rsidRPr="00DD0CC0">
        <w:rPr>
          <w:color w:val="auto"/>
        </w:rPr>
        <w:t>@vilnius.lt</w:t>
      </w:r>
      <w:proofErr w:type="spellEnd"/>
      <w:r w:rsidRPr="00DD0CC0">
        <w:rPr>
          <w:color w:val="auto"/>
        </w:rPr>
        <w:t>.</w:t>
      </w:r>
    </w:p>
    <w:p w14:paraId="13087F38" w14:textId="2C00D4A1" w:rsidR="001916FD" w:rsidRDefault="001916FD" w:rsidP="001D49A0">
      <w:pPr>
        <w:pStyle w:val="Default"/>
        <w:spacing w:before="140" w:after="160"/>
        <w:jc w:val="both"/>
        <w:rPr>
          <w:color w:val="auto"/>
        </w:rPr>
      </w:pPr>
      <w:r w:rsidRPr="00DD0CC0">
        <w:rPr>
          <w:b/>
          <w:color w:val="auto"/>
        </w:rPr>
        <w:t>Planavimo iniciatorius</w:t>
      </w:r>
      <w:r>
        <w:rPr>
          <w:b/>
          <w:color w:val="auto"/>
        </w:rPr>
        <w:t>:</w:t>
      </w:r>
      <w:r w:rsidRPr="00DD0CC0">
        <w:rPr>
          <w:color w:val="auto"/>
        </w:rPr>
        <w:t xml:space="preserve"> </w:t>
      </w:r>
      <w:r w:rsidR="00E40452">
        <w:rPr>
          <w:color w:val="auto"/>
        </w:rPr>
        <w:t>privatūs asmenys.</w:t>
      </w:r>
    </w:p>
    <w:p w14:paraId="30D3F121" w14:textId="5D185A3C" w:rsidR="001D49A0" w:rsidRDefault="001D49A0" w:rsidP="00E40452">
      <w:pPr>
        <w:spacing w:before="100" w:after="100" w:line="240" w:lineRule="auto"/>
        <w:ind w:right="-90"/>
        <w:outlineLvl w:val="2"/>
        <w:rPr>
          <w:rFonts w:eastAsia="Times New Roman"/>
        </w:rPr>
      </w:pPr>
      <w:r w:rsidRPr="005764D0">
        <w:rPr>
          <w:rStyle w:val="Strong"/>
        </w:rPr>
        <w:t>Projekto rengėjas</w:t>
      </w:r>
      <w:r w:rsidRPr="005764D0">
        <w:t xml:space="preserve">: </w:t>
      </w:r>
      <w:r w:rsidR="00E40452" w:rsidRPr="00E3249D">
        <w:rPr>
          <w:rFonts w:eastAsia="Times New Roman"/>
        </w:rPr>
        <w:t>projekto vadovė</w:t>
      </w:r>
      <w:r w:rsidR="00E40452">
        <w:rPr>
          <w:rFonts w:eastAsia="Times New Roman"/>
          <w:b/>
          <w:bCs/>
          <w:sz w:val="27"/>
          <w:szCs w:val="27"/>
        </w:rPr>
        <w:t xml:space="preserve"> </w:t>
      </w:r>
      <w:r w:rsidR="00E40452" w:rsidRPr="00E3249D">
        <w:rPr>
          <w:rFonts w:eastAsia="Times New Roman"/>
        </w:rPr>
        <w:t xml:space="preserve">Rūta </w:t>
      </w:r>
      <w:proofErr w:type="spellStart"/>
      <w:r w:rsidR="00E40452" w:rsidRPr="00E3249D">
        <w:rPr>
          <w:rFonts w:eastAsia="Times New Roman"/>
        </w:rPr>
        <w:t>Garuckienė</w:t>
      </w:r>
      <w:proofErr w:type="spellEnd"/>
      <w:r w:rsidR="00E40452" w:rsidRPr="00E3249D">
        <w:rPr>
          <w:rFonts w:eastAsia="Times New Roman"/>
        </w:rPr>
        <w:t xml:space="preserve"> tel.</w:t>
      </w:r>
      <w:r w:rsidR="00E40452" w:rsidRPr="00E3249D">
        <w:t xml:space="preserve"> 8699 79322</w:t>
      </w:r>
      <w:r w:rsidR="00E40452" w:rsidRPr="00E3249D">
        <w:rPr>
          <w:rFonts w:eastAsia="Times New Roman"/>
        </w:rPr>
        <w:t xml:space="preserve">, </w:t>
      </w:r>
      <w:r w:rsidR="00E40452">
        <w:rPr>
          <w:rFonts w:eastAsia="Times New Roman"/>
        </w:rPr>
        <w:t xml:space="preserve">el. paštas: </w:t>
      </w:r>
      <w:hyperlink r:id="rId5" w:history="1">
        <w:r w:rsidR="00E40452" w:rsidRPr="001F2B0F">
          <w:rPr>
            <w:rStyle w:val="Hyperlink"/>
            <w:rFonts w:eastAsia="Times New Roman"/>
          </w:rPr>
          <w:t>rutagaruckiene@yahoo.com</w:t>
        </w:r>
      </w:hyperlink>
    </w:p>
    <w:p w14:paraId="07B8EB62" w14:textId="18B8717A" w:rsidR="00E40452" w:rsidRDefault="00E40452" w:rsidP="00E40452">
      <w:pPr>
        <w:spacing w:before="100" w:after="100" w:line="240" w:lineRule="auto"/>
        <w:ind w:right="-90"/>
        <w:outlineLvl w:val="2"/>
        <w:rPr>
          <w:rFonts w:eastAsia="Times New Roman"/>
        </w:rPr>
      </w:pPr>
      <w:r w:rsidRPr="00E40452">
        <w:rPr>
          <w:rFonts w:eastAsia="Times New Roman"/>
          <w:b/>
          <w:bCs/>
        </w:rPr>
        <w:t>Tyrimai ir galimybių studijos</w:t>
      </w:r>
      <w:r>
        <w:rPr>
          <w:rFonts w:eastAsia="Times New Roman"/>
        </w:rPr>
        <w:t>: nereikalingos</w:t>
      </w:r>
      <w:r w:rsidR="00E6586D">
        <w:rPr>
          <w:rFonts w:eastAsia="Times New Roman"/>
        </w:rPr>
        <w:t>.</w:t>
      </w:r>
    </w:p>
    <w:p w14:paraId="76E61E99" w14:textId="184CDCA2" w:rsidR="00E6586D" w:rsidRDefault="00E6586D" w:rsidP="00E40452">
      <w:pPr>
        <w:spacing w:before="100" w:after="100" w:line="240" w:lineRule="auto"/>
        <w:ind w:right="-90"/>
        <w:outlineLvl w:val="2"/>
        <w:rPr>
          <w:rFonts w:eastAsia="Times New Roman"/>
        </w:rPr>
      </w:pPr>
      <w:r w:rsidRPr="00E6586D">
        <w:rPr>
          <w:rFonts w:eastAsia="Times New Roman"/>
          <w:b/>
          <w:bCs/>
        </w:rPr>
        <w:t>SPAV reikalingumas</w:t>
      </w:r>
      <w:r>
        <w:rPr>
          <w:rFonts w:eastAsia="Times New Roman"/>
        </w:rPr>
        <w:t>: nereikalingas.</w:t>
      </w:r>
    </w:p>
    <w:p w14:paraId="57B8DEC2" w14:textId="44D61507" w:rsidR="00E6586D" w:rsidRPr="005764D0" w:rsidRDefault="00E6586D" w:rsidP="00E40452">
      <w:pPr>
        <w:spacing w:before="100" w:after="100" w:line="240" w:lineRule="auto"/>
        <w:ind w:right="-90"/>
        <w:outlineLvl w:val="2"/>
      </w:pPr>
      <w:r w:rsidRPr="00E6586D">
        <w:rPr>
          <w:rFonts w:eastAsia="Times New Roman"/>
          <w:b/>
          <w:bCs/>
        </w:rPr>
        <w:t>Atviras konkursas geriausiai urbanistinei idėjai atrinkti</w:t>
      </w:r>
      <w:r>
        <w:rPr>
          <w:rFonts w:eastAsia="Times New Roman"/>
        </w:rPr>
        <w:t>: nereikalingas.</w:t>
      </w:r>
    </w:p>
    <w:p w14:paraId="057F735C" w14:textId="63F17A7E" w:rsidR="00B0768D" w:rsidRDefault="00B0768D" w:rsidP="001D49A0">
      <w:pPr>
        <w:pStyle w:val="NormalWeb"/>
        <w:spacing w:before="140" w:beforeAutospacing="0" w:after="140" w:afterAutospacing="0"/>
        <w:jc w:val="both"/>
      </w:pPr>
      <w:r w:rsidRPr="005D3BFF">
        <w:rPr>
          <w:rStyle w:val="Strong"/>
        </w:rPr>
        <w:t>Teritorijų planavimo dokumento viešinimo procedūrų tvarka:</w:t>
      </w:r>
      <w:r w:rsidRPr="005D3BFF">
        <w:t xml:space="preserve"> </w:t>
      </w:r>
      <w:r w:rsidR="001916FD" w:rsidRPr="005D3BFF">
        <w:t>bendra</w:t>
      </w:r>
      <w:r w:rsidRPr="005D3BFF">
        <w:t>.</w:t>
      </w:r>
    </w:p>
    <w:p w14:paraId="41F52285" w14:textId="2A8F7DD9" w:rsidR="00E6586D" w:rsidRDefault="00E6586D" w:rsidP="001D49A0">
      <w:pPr>
        <w:pStyle w:val="NormalWeb"/>
        <w:spacing w:before="140" w:beforeAutospacing="0" w:after="140" w:afterAutospacing="0"/>
        <w:jc w:val="both"/>
      </w:pPr>
      <w:r w:rsidRPr="00E6586D">
        <w:rPr>
          <w:b/>
          <w:bCs/>
        </w:rPr>
        <w:t>Detaliojo planavimo etapai</w:t>
      </w:r>
      <w:r>
        <w:t>: parengiamasis, rengimo ir baigiamasis etapai.</w:t>
      </w:r>
    </w:p>
    <w:p w14:paraId="5DDBC08D" w14:textId="7A6DCABA" w:rsidR="00E6586D" w:rsidRDefault="00E6586D" w:rsidP="001D49A0">
      <w:pPr>
        <w:pStyle w:val="NormalWeb"/>
        <w:spacing w:before="140" w:beforeAutospacing="0" w:after="140" w:afterAutospacing="0"/>
        <w:jc w:val="both"/>
      </w:pPr>
      <w:r w:rsidRPr="00E6586D">
        <w:rPr>
          <w:b/>
          <w:bCs/>
        </w:rPr>
        <w:t>Koncepcijos rengimas</w:t>
      </w:r>
      <w:r>
        <w:t>: detaliojo plano koncepcija nerengiama.</w:t>
      </w:r>
    </w:p>
    <w:p w14:paraId="61073D93" w14:textId="12D760CA" w:rsidR="00E6586D" w:rsidRPr="002001E3" w:rsidRDefault="00E6586D" w:rsidP="001D49A0">
      <w:pPr>
        <w:pStyle w:val="NormalWeb"/>
        <w:spacing w:before="140" w:beforeAutospacing="0" w:after="140" w:afterAutospacing="0"/>
        <w:jc w:val="both"/>
      </w:pPr>
      <w:r w:rsidRPr="00E6586D">
        <w:rPr>
          <w:b/>
          <w:bCs/>
        </w:rPr>
        <w:t>Sprendinių profesinis vertinimas</w:t>
      </w:r>
      <w:r>
        <w:rPr>
          <w:b/>
          <w:bCs/>
        </w:rPr>
        <w:t xml:space="preserve">: </w:t>
      </w:r>
      <w:r w:rsidRPr="002001E3">
        <w:t>nereikalingas</w:t>
      </w:r>
      <w:r w:rsidR="002001E3">
        <w:t>.</w:t>
      </w:r>
    </w:p>
    <w:p w14:paraId="0579373D" w14:textId="18A73FF6" w:rsidR="00B0768D" w:rsidRPr="005D3BFF" w:rsidRDefault="00B0768D" w:rsidP="001D49A0">
      <w:pPr>
        <w:spacing w:before="140" w:after="140" w:line="240" w:lineRule="auto"/>
        <w:jc w:val="both"/>
        <w:rPr>
          <w:color w:val="000000"/>
          <w:lang w:eastAsia="lt-LT"/>
        </w:rPr>
      </w:pPr>
      <w:r w:rsidRPr="005D3BFF">
        <w:rPr>
          <w:b/>
          <w:bCs/>
          <w:lang w:eastAsia="lt-LT"/>
        </w:rPr>
        <w:lastRenderedPageBreak/>
        <w:t>Pasiūlymus dėl teritorijų planavimo dokumento sprendinių</w:t>
      </w:r>
      <w:r w:rsidRPr="005D3BFF">
        <w:rPr>
          <w:lang w:eastAsia="lt-LT"/>
        </w:rPr>
        <w:t xml:space="preserve"> galima teikti planavimo organizatoriui raštu </w:t>
      </w:r>
      <w:r w:rsidR="001D49A0">
        <w:rPr>
          <w:lang w:eastAsia="lt-LT"/>
        </w:rPr>
        <w:t>ar</w:t>
      </w:r>
      <w:r w:rsidRPr="005D3BFF">
        <w:rPr>
          <w:lang w:eastAsia="lt-LT"/>
        </w:rPr>
        <w:t xml:space="preserve"> Lietuvos Respublikos teritorijų planavimo dokumentų rengimo ir teritorijų planavimo proceso valstybinės priežiūros informacinėje sistemoje (www.tpdris.lt, TPD Nr. </w:t>
      </w:r>
      <w:r w:rsidRPr="005D3BFF">
        <w:rPr>
          <w:b/>
          <w:lang w:eastAsia="lt-LT"/>
        </w:rPr>
        <w:t>K-VT-13-21-</w:t>
      </w:r>
      <w:r w:rsidR="002001E3">
        <w:rPr>
          <w:b/>
          <w:lang w:eastAsia="lt-LT"/>
        </w:rPr>
        <w:t>414</w:t>
      </w:r>
      <w:r w:rsidRPr="005D3BFF">
        <w:rPr>
          <w:lang w:eastAsia="lt-LT"/>
        </w:rPr>
        <w:t>) per visą detaliojo plano sprendinių k</w:t>
      </w:r>
      <w:r w:rsidR="005D3BFF" w:rsidRPr="005D3BFF">
        <w:rPr>
          <w:lang w:eastAsia="lt-LT"/>
        </w:rPr>
        <w:t>eitimo</w:t>
      </w:r>
      <w:r w:rsidRPr="005D3BFF">
        <w:rPr>
          <w:lang w:eastAsia="lt-LT"/>
        </w:rPr>
        <w:t xml:space="preserve"> laikotarpį </w:t>
      </w:r>
      <w:r w:rsidRPr="005D3BFF">
        <w:rPr>
          <w:color w:val="000000"/>
          <w:lang w:eastAsia="lt-LT"/>
        </w:rPr>
        <w:t xml:space="preserve">iki susipažinimo su </w:t>
      </w:r>
      <w:r w:rsidRPr="005D3BFF">
        <w:rPr>
          <w:lang w:eastAsia="lt-LT"/>
        </w:rPr>
        <w:t>teritorijų planavimo dokumento</w:t>
      </w:r>
      <w:r w:rsidRPr="005D3BFF">
        <w:rPr>
          <w:color w:val="000000"/>
          <w:lang w:eastAsia="lt-LT"/>
        </w:rPr>
        <w:t xml:space="preserve"> projektu laikotarpio pabaigos.</w:t>
      </w:r>
    </w:p>
    <w:p w14:paraId="1648D616" w14:textId="62195470" w:rsidR="00B0768D" w:rsidRDefault="005D3BFF" w:rsidP="001D49A0">
      <w:pPr>
        <w:shd w:val="clear" w:color="auto" w:fill="FFFFFF"/>
        <w:spacing w:before="140" w:after="140" w:line="240" w:lineRule="auto"/>
        <w:jc w:val="both"/>
        <w:rPr>
          <w:rFonts w:eastAsia="Times New Roman"/>
          <w:color w:val="212529"/>
          <w:lang w:eastAsia="lt-LT"/>
        </w:rPr>
      </w:pPr>
      <w:r w:rsidRPr="00D26131">
        <w:rPr>
          <w:rFonts w:eastAsia="Times New Roman"/>
          <w:color w:val="212529"/>
          <w:lang w:eastAsia="lt-LT"/>
        </w:rPr>
        <w:t>Apie parengtą detalųjį planą visuomenė bus informuota Visuomenės informavimo, konsultavimo ir dalyvavimo priimant sprendimus dėl teritorijų planavimo nuostatuose, patvirtintuose Lietuvos Respublikos Vyriausybės 1996 m. rugsėjo 18 d. nutarimu Nr. 1079, nustatyta tvarka.</w:t>
      </w:r>
    </w:p>
    <w:p w14:paraId="00C929C1" w14:textId="77777777" w:rsidR="002019B0" w:rsidRDefault="002019B0" w:rsidP="001D49A0">
      <w:pPr>
        <w:shd w:val="clear" w:color="auto" w:fill="FFFFFF"/>
        <w:spacing w:before="140" w:after="140" w:line="240" w:lineRule="auto"/>
        <w:jc w:val="both"/>
        <w:rPr>
          <w:rFonts w:eastAsia="Times New Roman"/>
          <w:color w:val="212529"/>
          <w:lang w:eastAsia="lt-LT"/>
        </w:rPr>
      </w:pPr>
    </w:p>
    <w:p w14:paraId="565FBC91" w14:textId="2F834272" w:rsidR="002019B0" w:rsidRPr="005D3BFF" w:rsidRDefault="002019B0" w:rsidP="001D49A0">
      <w:pPr>
        <w:shd w:val="clear" w:color="auto" w:fill="FFFFFF"/>
        <w:spacing w:before="140" w:after="140" w:line="240" w:lineRule="auto"/>
        <w:jc w:val="both"/>
        <w:rPr>
          <w:rFonts w:eastAsia="Times New Roman"/>
          <w:color w:val="212529"/>
          <w:lang w:eastAsia="lt-LT"/>
        </w:rPr>
      </w:pPr>
    </w:p>
    <w:sectPr w:rsidR="002019B0" w:rsidRPr="005D3BFF" w:rsidSect="00217C1F">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EA"/>
    <w:rsid w:val="00011F5A"/>
    <w:rsid w:val="000373DD"/>
    <w:rsid w:val="00072A17"/>
    <w:rsid w:val="000E784D"/>
    <w:rsid w:val="0013554B"/>
    <w:rsid w:val="00157886"/>
    <w:rsid w:val="00162886"/>
    <w:rsid w:val="00180F02"/>
    <w:rsid w:val="001916FD"/>
    <w:rsid w:val="00197604"/>
    <w:rsid w:val="001C3D7B"/>
    <w:rsid w:val="001C5063"/>
    <w:rsid w:val="001D49A0"/>
    <w:rsid w:val="001F1C6D"/>
    <w:rsid w:val="001F287D"/>
    <w:rsid w:val="002001E3"/>
    <w:rsid w:val="002019B0"/>
    <w:rsid w:val="00217C1F"/>
    <w:rsid w:val="00225C1E"/>
    <w:rsid w:val="002616FF"/>
    <w:rsid w:val="002637DF"/>
    <w:rsid w:val="00263A94"/>
    <w:rsid w:val="002D2B31"/>
    <w:rsid w:val="002D2F6E"/>
    <w:rsid w:val="003048DB"/>
    <w:rsid w:val="00321731"/>
    <w:rsid w:val="003252B9"/>
    <w:rsid w:val="0033359A"/>
    <w:rsid w:val="0034116D"/>
    <w:rsid w:val="00347BFF"/>
    <w:rsid w:val="00372FC5"/>
    <w:rsid w:val="00373B6A"/>
    <w:rsid w:val="0038084B"/>
    <w:rsid w:val="00407D4C"/>
    <w:rsid w:val="00431879"/>
    <w:rsid w:val="00437B66"/>
    <w:rsid w:val="00437C54"/>
    <w:rsid w:val="00451EFE"/>
    <w:rsid w:val="004745A6"/>
    <w:rsid w:val="004952E0"/>
    <w:rsid w:val="004A0D64"/>
    <w:rsid w:val="004B3BE9"/>
    <w:rsid w:val="004B51C7"/>
    <w:rsid w:val="004E7163"/>
    <w:rsid w:val="004F4E33"/>
    <w:rsid w:val="0051278E"/>
    <w:rsid w:val="00515F18"/>
    <w:rsid w:val="005339D8"/>
    <w:rsid w:val="00575691"/>
    <w:rsid w:val="00591FA1"/>
    <w:rsid w:val="005D3BFF"/>
    <w:rsid w:val="005E0288"/>
    <w:rsid w:val="005E2DB6"/>
    <w:rsid w:val="005E564D"/>
    <w:rsid w:val="005F111F"/>
    <w:rsid w:val="005F2181"/>
    <w:rsid w:val="00603D90"/>
    <w:rsid w:val="00641128"/>
    <w:rsid w:val="006768F7"/>
    <w:rsid w:val="00681A86"/>
    <w:rsid w:val="006C246D"/>
    <w:rsid w:val="00735801"/>
    <w:rsid w:val="00764D5C"/>
    <w:rsid w:val="00766214"/>
    <w:rsid w:val="007A7853"/>
    <w:rsid w:val="007E2C1A"/>
    <w:rsid w:val="00815939"/>
    <w:rsid w:val="00816148"/>
    <w:rsid w:val="00816D10"/>
    <w:rsid w:val="00825653"/>
    <w:rsid w:val="00846E40"/>
    <w:rsid w:val="008716DB"/>
    <w:rsid w:val="008756CF"/>
    <w:rsid w:val="008827AD"/>
    <w:rsid w:val="0089468A"/>
    <w:rsid w:val="008A2F00"/>
    <w:rsid w:val="008B2E70"/>
    <w:rsid w:val="008D15EA"/>
    <w:rsid w:val="008E3D4A"/>
    <w:rsid w:val="00900358"/>
    <w:rsid w:val="009104E2"/>
    <w:rsid w:val="00960C71"/>
    <w:rsid w:val="00973CD9"/>
    <w:rsid w:val="009B243A"/>
    <w:rsid w:val="009E025A"/>
    <w:rsid w:val="00A04184"/>
    <w:rsid w:val="00A36504"/>
    <w:rsid w:val="00A46EF0"/>
    <w:rsid w:val="00A52A84"/>
    <w:rsid w:val="00A91322"/>
    <w:rsid w:val="00A9585A"/>
    <w:rsid w:val="00A9781C"/>
    <w:rsid w:val="00AA07C1"/>
    <w:rsid w:val="00AB4561"/>
    <w:rsid w:val="00AC0980"/>
    <w:rsid w:val="00AD1B3D"/>
    <w:rsid w:val="00AE19FB"/>
    <w:rsid w:val="00B0768D"/>
    <w:rsid w:val="00B122B4"/>
    <w:rsid w:val="00B379BD"/>
    <w:rsid w:val="00B64A34"/>
    <w:rsid w:val="00B66BBC"/>
    <w:rsid w:val="00B754DC"/>
    <w:rsid w:val="00B82BA7"/>
    <w:rsid w:val="00B872A3"/>
    <w:rsid w:val="00B92B11"/>
    <w:rsid w:val="00BA60F2"/>
    <w:rsid w:val="00BD64FE"/>
    <w:rsid w:val="00BE7C7D"/>
    <w:rsid w:val="00C25CA6"/>
    <w:rsid w:val="00C45144"/>
    <w:rsid w:val="00C525DD"/>
    <w:rsid w:val="00C52898"/>
    <w:rsid w:val="00C63F62"/>
    <w:rsid w:val="00C6575C"/>
    <w:rsid w:val="00C761DB"/>
    <w:rsid w:val="00C77B9B"/>
    <w:rsid w:val="00CB18BE"/>
    <w:rsid w:val="00CB60B5"/>
    <w:rsid w:val="00CC0BCA"/>
    <w:rsid w:val="00CC2C67"/>
    <w:rsid w:val="00CD4239"/>
    <w:rsid w:val="00D01955"/>
    <w:rsid w:val="00D53599"/>
    <w:rsid w:val="00D61CCB"/>
    <w:rsid w:val="00D6415E"/>
    <w:rsid w:val="00D816D4"/>
    <w:rsid w:val="00D817F7"/>
    <w:rsid w:val="00DA099A"/>
    <w:rsid w:val="00DC7725"/>
    <w:rsid w:val="00DF4A1A"/>
    <w:rsid w:val="00E3433B"/>
    <w:rsid w:val="00E40452"/>
    <w:rsid w:val="00E43949"/>
    <w:rsid w:val="00E46F66"/>
    <w:rsid w:val="00E648C3"/>
    <w:rsid w:val="00E6586D"/>
    <w:rsid w:val="00E731AC"/>
    <w:rsid w:val="00E92F7F"/>
    <w:rsid w:val="00EA3BF2"/>
    <w:rsid w:val="00EC7FD1"/>
    <w:rsid w:val="00EE3302"/>
    <w:rsid w:val="00EF5B45"/>
    <w:rsid w:val="00EF6391"/>
    <w:rsid w:val="00F000D6"/>
    <w:rsid w:val="00F00D79"/>
    <w:rsid w:val="00F115F1"/>
    <w:rsid w:val="00F21A81"/>
    <w:rsid w:val="00F3156E"/>
    <w:rsid w:val="00F320FD"/>
    <w:rsid w:val="00F37467"/>
    <w:rsid w:val="00F55C74"/>
    <w:rsid w:val="00F560D0"/>
    <w:rsid w:val="00F97195"/>
    <w:rsid w:val="00FC7F53"/>
    <w:rsid w:val="00FD0C88"/>
    <w:rsid w:val="00FD2315"/>
    <w:rsid w:val="00FE6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FC84CD3"/>
  <w15:docId w15:val="{2E2D164E-6351-4C67-9D9E-06AEB8B3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B5"/>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15EA"/>
    <w:pPr>
      <w:spacing w:before="100" w:beforeAutospacing="1" w:after="100" w:afterAutospacing="1" w:line="240" w:lineRule="auto"/>
    </w:pPr>
    <w:rPr>
      <w:rFonts w:eastAsia="Times New Roman"/>
      <w:lang w:eastAsia="lt-LT"/>
    </w:rPr>
  </w:style>
  <w:style w:type="character" w:styleId="Strong">
    <w:name w:val="Strong"/>
    <w:uiPriority w:val="99"/>
    <w:qFormat/>
    <w:rsid w:val="008D15EA"/>
    <w:rPr>
      <w:rFonts w:cs="Times New Roman"/>
      <w:b/>
      <w:bCs/>
    </w:rPr>
  </w:style>
  <w:style w:type="character" w:styleId="Hyperlink">
    <w:name w:val="Hyperlink"/>
    <w:uiPriority w:val="99"/>
    <w:semiHidden/>
    <w:rsid w:val="008D15EA"/>
    <w:rPr>
      <w:rFonts w:cs="Times New Roman"/>
      <w:color w:val="0000FF"/>
      <w:u w:val="single"/>
    </w:rPr>
  </w:style>
  <w:style w:type="table" w:styleId="TableGrid">
    <w:name w:val="Table Grid"/>
    <w:basedOn w:val="TableNormal"/>
    <w:uiPriority w:val="99"/>
    <w:rsid w:val="009B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00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uiPriority w:val="99"/>
    <w:semiHidden/>
    <w:locked/>
    <w:rsid w:val="00B122B4"/>
    <w:rPr>
      <w:rFonts w:ascii="Courier New" w:hAnsi="Courier New" w:cs="Courier New"/>
      <w:sz w:val="20"/>
      <w:szCs w:val="20"/>
      <w:lang w:eastAsia="en-US"/>
    </w:rPr>
  </w:style>
  <w:style w:type="paragraph" w:customStyle="1" w:styleId="DiagramaDiagrama2">
    <w:name w:val="Diagrama Diagrama2"/>
    <w:basedOn w:val="Normal"/>
    <w:uiPriority w:val="99"/>
    <w:rsid w:val="00764D5C"/>
    <w:pPr>
      <w:spacing w:after="160" w:line="240" w:lineRule="exact"/>
    </w:pPr>
    <w:rPr>
      <w:rFonts w:ascii="Tahoma" w:hAnsi="Tahoma"/>
      <w:sz w:val="20"/>
      <w:szCs w:val="20"/>
      <w:lang w:val="en-US"/>
    </w:rPr>
  </w:style>
  <w:style w:type="paragraph" w:customStyle="1" w:styleId="mazas">
    <w:name w:val="mazas"/>
    <w:basedOn w:val="Normal"/>
    <w:uiPriority w:val="99"/>
    <w:rsid w:val="00973CD9"/>
    <w:pPr>
      <w:spacing w:before="100" w:beforeAutospacing="1" w:after="100" w:afterAutospacing="1" w:line="240" w:lineRule="auto"/>
    </w:pPr>
    <w:rPr>
      <w:lang w:val="en-US"/>
    </w:rPr>
  </w:style>
  <w:style w:type="paragraph" w:customStyle="1" w:styleId="Rus">
    <w:name w:val="Rus"/>
    <w:basedOn w:val="Normal"/>
    <w:rsid w:val="00973CD9"/>
    <w:pPr>
      <w:suppressAutoHyphens/>
      <w:spacing w:after="0" w:line="240" w:lineRule="auto"/>
    </w:pPr>
    <w:rPr>
      <w:rFonts w:ascii="Arial" w:hAnsi="Arial"/>
      <w:b/>
      <w:sz w:val="20"/>
      <w:szCs w:val="20"/>
      <w:lang w:val="ru-RU" w:eastAsia="ar-SA"/>
    </w:rPr>
  </w:style>
  <w:style w:type="paragraph" w:customStyle="1" w:styleId="Default">
    <w:name w:val="Default"/>
    <w:rsid w:val="00973CD9"/>
    <w:pPr>
      <w:autoSpaceDE w:val="0"/>
      <w:autoSpaceDN w:val="0"/>
      <w:adjustRightInd w:val="0"/>
    </w:pPr>
    <w:rPr>
      <w:color w:val="000000"/>
      <w:sz w:val="24"/>
      <w:szCs w:val="24"/>
    </w:rPr>
  </w:style>
  <w:style w:type="paragraph" w:customStyle="1" w:styleId="DiagramaDiagrama2DiagramaDiagrama">
    <w:name w:val="Diagrama Diagrama2 Diagrama Diagrama"/>
    <w:basedOn w:val="Normal"/>
    <w:uiPriority w:val="99"/>
    <w:rsid w:val="004B3BE9"/>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E4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1047">
      <w:marLeft w:val="0"/>
      <w:marRight w:val="0"/>
      <w:marTop w:val="0"/>
      <w:marBottom w:val="0"/>
      <w:divBdr>
        <w:top w:val="none" w:sz="0" w:space="0" w:color="auto"/>
        <w:left w:val="none" w:sz="0" w:space="0" w:color="auto"/>
        <w:bottom w:val="none" w:sz="0" w:space="0" w:color="auto"/>
        <w:right w:val="none" w:sz="0" w:space="0" w:color="auto"/>
      </w:divBdr>
    </w:div>
    <w:div w:id="779951048">
      <w:marLeft w:val="0"/>
      <w:marRight w:val="0"/>
      <w:marTop w:val="0"/>
      <w:marBottom w:val="0"/>
      <w:divBdr>
        <w:top w:val="none" w:sz="0" w:space="0" w:color="auto"/>
        <w:left w:val="none" w:sz="0" w:space="0" w:color="auto"/>
        <w:bottom w:val="none" w:sz="0" w:space="0" w:color="auto"/>
        <w:right w:val="none" w:sz="0" w:space="0" w:color="auto"/>
      </w:divBdr>
    </w:div>
    <w:div w:id="779951049">
      <w:marLeft w:val="0"/>
      <w:marRight w:val="0"/>
      <w:marTop w:val="0"/>
      <w:marBottom w:val="0"/>
      <w:divBdr>
        <w:top w:val="none" w:sz="0" w:space="0" w:color="auto"/>
        <w:left w:val="none" w:sz="0" w:space="0" w:color="auto"/>
        <w:bottom w:val="none" w:sz="0" w:space="0" w:color="auto"/>
        <w:right w:val="none" w:sz="0" w:space="0" w:color="auto"/>
      </w:divBdr>
    </w:div>
    <w:div w:id="779951050">
      <w:marLeft w:val="0"/>
      <w:marRight w:val="0"/>
      <w:marTop w:val="0"/>
      <w:marBottom w:val="0"/>
      <w:divBdr>
        <w:top w:val="none" w:sz="0" w:space="0" w:color="auto"/>
        <w:left w:val="none" w:sz="0" w:space="0" w:color="auto"/>
        <w:bottom w:val="none" w:sz="0" w:space="0" w:color="auto"/>
        <w:right w:val="none" w:sz="0" w:space="0" w:color="auto"/>
      </w:divBdr>
    </w:div>
    <w:div w:id="779951051">
      <w:marLeft w:val="0"/>
      <w:marRight w:val="0"/>
      <w:marTop w:val="0"/>
      <w:marBottom w:val="0"/>
      <w:divBdr>
        <w:top w:val="none" w:sz="0" w:space="0" w:color="auto"/>
        <w:left w:val="none" w:sz="0" w:space="0" w:color="auto"/>
        <w:bottom w:val="none" w:sz="0" w:space="0" w:color="auto"/>
        <w:right w:val="none" w:sz="0" w:space="0" w:color="auto"/>
      </w:divBdr>
    </w:div>
    <w:div w:id="779951052">
      <w:marLeft w:val="0"/>
      <w:marRight w:val="0"/>
      <w:marTop w:val="0"/>
      <w:marBottom w:val="0"/>
      <w:divBdr>
        <w:top w:val="none" w:sz="0" w:space="0" w:color="auto"/>
        <w:left w:val="none" w:sz="0" w:space="0" w:color="auto"/>
        <w:bottom w:val="none" w:sz="0" w:space="0" w:color="auto"/>
        <w:right w:val="none" w:sz="0" w:space="0" w:color="auto"/>
      </w:divBdr>
    </w:div>
    <w:div w:id="779951053">
      <w:marLeft w:val="0"/>
      <w:marRight w:val="0"/>
      <w:marTop w:val="0"/>
      <w:marBottom w:val="0"/>
      <w:divBdr>
        <w:top w:val="none" w:sz="0" w:space="0" w:color="auto"/>
        <w:left w:val="none" w:sz="0" w:space="0" w:color="auto"/>
        <w:bottom w:val="none" w:sz="0" w:space="0" w:color="auto"/>
        <w:right w:val="none" w:sz="0" w:space="0" w:color="auto"/>
      </w:divBdr>
    </w:div>
    <w:div w:id="779951054">
      <w:marLeft w:val="0"/>
      <w:marRight w:val="0"/>
      <w:marTop w:val="0"/>
      <w:marBottom w:val="0"/>
      <w:divBdr>
        <w:top w:val="none" w:sz="0" w:space="0" w:color="auto"/>
        <w:left w:val="none" w:sz="0" w:space="0" w:color="auto"/>
        <w:bottom w:val="none" w:sz="0" w:space="0" w:color="auto"/>
        <w:right w:val="none" w:sz="0" w:space="0" w:color="auto"/>
      </w:divBdr>
    </w:div>
    <w:div w:id="779951055">
      <w:marLeft w:val="0"/>
      <w:marRight w:val="0"/>
      <w:marTop w:val="0"/>
      <w:marBottom w:val="0"/>
      <w:divBdr>
        <w:top w:val="none" w:sz="0" w:space="0" w:color="auto"/>
        <w:left w:val="none" w:sz="0" w:space="0" w:color="auto"/>
        <w:bottom w:val="none" w:sz="0" w:space="0" w:color="auto"/>
        <w:right w:val="none" w:sz="0" w:space="0" w:color="auto"/>
      </w:divBdr>
    </w:div>
    <w:div w:id="779951056">
      <w:marLeft w:val="0"/>
      <w:marRight w:val="0"/>
      <w:marTop w:val="0"/>
      <w:marBottom w:val="0"/>
      <w:divBdr>
        <w:top w:val="none" w:sz="0" w:space="0" w:color="auto"/>
        <w:left w:val="none" w:sz="0" w:space="0" w:color="auto"/>
        <w:bottom w:val="none" w:sz="0" w:space="0" w:color="auto"/>
        <w:right w:val="none" w:sz="0" w:space="0" w:color="auto"/>
      </w:divBdr>
    </w:div>
    <w:div w:id="779951057">
      <w:marLeft w:val="0"/>
      <w:marRight w:val="0"/>
      <w:marTop w:val="0"/>
      <w:marBottom w:val="0"/>
      <w:divBdr>
        <w:top w:val="none" w:sz="0" w:space="0" w:color="auto"/>
        <w:left w:val="none" w:sz="0" w:space="0" w:color="auto"/>
        <w:bottom w:val="none" w:sz="0" w:space="0" w:color="auto"/>
        <w:right w:val="none" w:sz="0" w:space="0" w:color="auto"/>
      </w:divBdr>
    </w:div>
    <w:div w:id="779951058">
      <w:marLeft w:val="0"/>
      <w:marRight w:val="0"/>
      <w:marTop w:val="0"/>
      <w:marBottom w:val="0"/>
      <w:divBdr>
        <w:top w:val="none" w:sz="0" w:space="0" w:color="auto"/>
        <w:left w:val="none" w:sz="0" w:space="0" w:color="auto"/>
        <w:bottom w:val="none" w:sz="0" w:space="0" w:color="auto"/>
        <w:right w:val="none" w:sz="0" w:space="0" w:color="auto"/>
      </w:divBdr>
    </w:div>
    <w:div w:id="779951059">
      <w:marLeft w:val="0"/>
      <w:marRight w:val="0"/>
      <w:marTop w:val="0"/>
      <w:marBottom w:val="0"/>
      <w:divBdr>
        <w:top w:val="none" w:sz="0" w:space="0" w:color="auto"/>
        <w:left w:val="none" w:sz="0" w:space="0" w:color="auto"/>
        <w:bottom w:val="none" w:sz="0" w:space="0" w:color="auto"/>
        <w:right w:val="none" w:sz="0" w:space="0" w:color="auto"/>
      </w:divBdr>
    </w:div>
    <w:div w:id="779951060">
      <w:marLeft w:val="0"/>
      <w:marRight w:val="0"/>
      <w:marTop w:val="0"/>
      <w:marBottom w:val="0"/>
      <w:divBdr>
        <w:top w:val="none" w:sz="0" w:space="0" w:color="auto"/>
        <w:left w:val="none" w:sz="0" w:space="0" w:color="auto"/>
        <w:bottom w:val="none" w:sz="0" w:space="0" w:color="auto"/>
        <w:right w:val="none" w:sz="0" w:space="0" w:color="auto"/>
      </w:divBdr>
    </w:div>
    <w:div w:id="779951061">
      <w:marLeft w:val="0"/>
      <w:marRight w:val="0"/>
      <w:marTop w:val="0"/>
      <w:marBottom w:val="0"/>
      <w:divBdr>
        <w:top w:val="none" w:sz="0" w:space="0" w:color="auto"/>
        <w:left w:val="none" w:sz="0" w:space="0" w:color="auto"/>
        <w:bottom w:val="none" w:sz="0" w:space="0" w:color="auto"/>
        <w:right w:val="none" w:sz="0" w:space="0" w:color="auto"/>
      </w:divBdr>
    </w:div>
    <w:div w:id="779951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utagaruckiene@yahoo.com"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Trakų rajono savivaldybės administracijai</vt:lpstr>
    </vt:vector>
  </TitlesOfParts>
  <Company>Microsoft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Trakų rajono savivaldybės administracijai</dc:title>
  <dc:subject/>
  <dc:creator>Vartotojas</dc:creator>
  <cp:keywords/>
  <dc:description/>
  <cp:lastModifiedBy>Atriumas Atriu</cp:lastModifiedBy>
  <cp:revision>4</cp:revision>
  <cp:lastPrinted>2021-08-19T06:40:00Z</cp:lastPrinted>
  <dcterms:created xsi:type="dcterms:W3CDTF">2021-08-18T14:56:00Z</dcterms:created>
  <dcterms:modified xsi:type="dcterms:W3CDTF">2021-08-19T07:01:00Z</dcterms:modified>
</cp:coreProperties>
</file>