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48B9" w14:textId="77777777" w:rsidR="00F055B1" w:rsidRDefault="0059719C">
      <w:pPr>
        <w:jc w:val="center"/>
        <w:rPr>
          <w:b/>
          <w:lang w:val="en-US" w:eastAsia="lt-LT"/>
        </w:rPr>
      </w:pPr>
      <w:r>
        <w:rPr>
          <w:b/>
          <w:lang w:val="en-US" w:eastAsia="lt-LT"/>
        </w:rPr>
        <w:t xml:space="preserve">VILNIAUS MIESTO SAVIVALDYBĖS ADMINISTRACIJOS DIREKTORIAUS PAVADUOTOJO ĮSAKYMO PROJEKTAS </w:t>
      </w:r>
    </w:p>
    <w:p w14:paraId="47FCBEF1" w14:textId="77777777" w:rsidR="00F055B1" w:rsidRDefault="0059719C">
      <w:pPr>
        <w:jc w:val="center"/>
        <w:rPr>
          <w:b/>
          <w:bCs/>
          <w:caps/>
        </w:rPr>
      </w:pPr>
      <w:r>
        <w:rPr>
          <w:b/>
          <w:bCs/>
          <w:caps/>
        </w:rPr>
        <w:t>,,DĖL LEIDIMO KOREGUOTI teritorijoS tarp ozo, kalvarijų,</w:t>
      </w:r>
    </w:p>
    <w:p w14:paraId="4636064E" w14:textId="77777777" w:rsidR="00F055B1" w:rsidRDefault="0059719C">
      <w:pPr>
        <w:suppressAutoHyphens w:val="0"/>
        <w:jc w:val="center"/>
        <w:textAlignment w:val="auto"/>
      </w:pPr>
      <w:r>
        <w:rPr>
          <w:b/>
          <w:bCs/>
          <w:caps/>
        </w:rPr>
        <w:t xml:space="preserve">šiaurinės ir geležinio vilko gatvių detaliojo plano, pakoreguoto teritorijos tarp ozo, </w:t>
      </w:r>
      <w:r>
        <w:rPr>
          <w:b/>
          <w:bCs/>
          <w:caps/>
        </w:rPr>
        <w:t xml:space="preserve">kalvarijų, šiaurinės ir geležinio vilko gatvių detaliojo plano sklypo (kadastro nr. 0101/0021:502) 1/6 ir 1/8 dalių sprendinių koregavimu, </w:t>
      </w:r>
      <w:r>
        <w:rPr>
          <w:b/>
          <w:caps/>
          <w:lang w:eastAsia="lt-LT"/>
        </w:rPr>
        <w:t xml:space="preserve">SKLYPO DALYSE 1/4, 1/5 ir 1/6A </w:t>
      </w:r>
      <w:r>
        <w:rPr>
          <w:b/>
          <w:bCs/>
          <w:caps/>
        </w:rPr>
        <w:t xml:space="preserve">IR SKLYPO DALYJE TARP SKAIČIŲ 1-18 </w:t>
      </w:r>
      <w:r>
        <w:rPr>
          <w:b/>
          <w:caps/>
          <w:lang w:eastAsia="lt-LT"/>
        </w:rPr>
        <w:t xml:space="preserve">SPRENDINIUS INICIjAVIMO SUTARTIES PAGRINDU“ </w:t>
      </w:r>
    </w:p>
    <w:p w14:paraId="219CC79D" w14:textId="77777777" w:rsidR="00F055B1" w:rsidRDefault="00F055B1">
      <w:pPr>
        <w:suppressAutoHyphens w:val="0"/>
        <w:jc w:val="center"/>
        <w:textAlignment w:val="auto"/>
        <w:rPr>
          <w:b/>
          <w:bCs/>
          <w:caps/>
        </w:rPr>
      </w:pPr>
    </w:p>
    <w:p w14:paraId="16A28D62" w14:textId="77777777" w:rsidR="00F055B1" w:rsidRDefault="0059719C">
      <w:pPr>
        <w:jc w:val="center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AIŠKI</w:t>
      </w:r>
      <w:r>
        <w:rPr>
          <w:b/>
          <w:szCs w:val="20"/>
          <w:lang w:eastAsia="lt-LT"/>
        </w:rPr>
        <w:t>NAMASIS RAŠTAS</w:t>
      </w:r>
    </w:p>
    <w:p w14:paraId="751696AE" w14:textId="77777777" w:rsidR="00F055B1" w:rsidRDefault="00F055B1">
      <w:pPr>
        <w:jc w:val="center"/>
        <w:rPr>
          <w:b/>
          <w:szCs w:val="20"/>
          <w:lang w:eastAsia="lt-LT"/>
        </w:rPr>
      </w:pPr>
    </w:p>
    <w:p w14:paraId="7E9F863F" w14:textId="77777777" w:rsidR="00F055B1" w:rsidRDefault="0059719C">
      <w:pPr>
        <w:jc w:val="center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2020-08-27</w:t>
      </w:r>
    </w:p>
    <w:p w14:paraId="48EE1499" w14:textId="77777777" w:rsidR="00F055B1" w:rsidRDefault="00F055B1">
      <w:pPr>
        <w:jc w:val="center"/>
        <w:rPr>
          <w:b/>
          <w:szCs w:val="20"/>
          <w:lang w:eastAsia="lt-LT"/>
        </w:rPr>
      </w:pPr>
    </w:p>
    <w:p w14:paraId="70991935" w14:textId="77777777" w:rsidR="00F055B1" w:rsidRDefault="0059719C">
      <w:pPr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1. Parengto teisės akto projekto tikslas ir uždaviniai:</w:t>
      </w:r>
    </w:p>
    <w:p w14:paraId="3C68E81C" w14:textId="77777777" w:rsidR="00F055B1" w:rsidRDefault="0059719C">
      <w:pPr>
        <w:ind w:firstLine="851"/>
        <w:jc w:val="both"/>
      </w:pPr>
      <w:r>
        <w:rPr>
          <w:lang w:eastAsia="lt-LT"/>
        </w:rPr>
        <w:t>Atsižvelgiant į uždarosios akcinės bendrovės ,,</w:t>
      </w:r>
      <w:proofErr w:type="spellStart"/>
      <w:r>
        <w:rPr>
          <w:lang w:eastAsia="lt-LT"/>
        </w:rPr>
        <w:t>Ozantis</w:t>
      </w:r>
      <w:proofErr w:type="spellEnd"/>
      <w:r>
        <w:rPr>
          <w:lang w:eastAsia="lt-LT"/>
        </w:rPr>
        <w:t xml:space="preserve">“ ir uždarosios akcinės bendrovės Universali arena“ prašymus, rengiamas įsakymo projektas dėl leidimo </w:t>
      </w:r>
      <w:r>
        <w:t xml:space="preserve">koreguoti </w:t>
      </w:r>
      <w:r>
        <w:rPr>
          <w:lang w:eastAsia="lt-LT"/>
        </w:rPr>
        <w:t>Vilnia</w:t>
      </w:r>
      <w:r>
        <w:rPr>
          <w:lang w:eastAsia="lt-LT"/>
        </w:rPr>
        <w:t xml:space="preserve">us miesto savivaldybės tarybos 2005 m. kovo 23 d. sprendimu Nr. 1-754 ,,Dėl teritorijos tarp Ozo, Kalvarijų, Šiaurinės ir Geležinio Vilko gatvių detaliojo plano tvirtinimo“ patvirtinto </w:t>
      </w:r>
      <w:r>
        <w:t>teritorijos tarp Ozo, Kalvarijų, Šiaurinės ir Geležinio Vilko gatvių de</w:t>
      </w:r>
      <w:r>
        <w:t xml:space="preserve">taliojo plano (registro Nr. T00054812), pakoreguoto </w:t>
      </w:r>
      <w:r>
        <w:rPr>
          <w:lang w:eastAsia="lt-LT"/>
        </w:rPr>
        <w:t>Vilniaus miesto savivaldybės administracijos direktoriaus 2017 m. gegužės 31 d. įsakymu Nr. 30-1620 ,,Dėl teritorijos tarp Ozo, Kalvarijų, Šiaurinės ir Geležinio Vilko gatvių detaliojo plano sklypo (kadas</w:t>
      </w:r>
      <w:r>
        <w:rPr>
          <w:lang w:eastAsia="lt-LT"/>
        </w:rPr>
        <w:t xml:space="preserve">tro Nr. 0101/0021:502) 1/6 ir 1/8 dalių sprendinių koregavimo tvirtinimo“ patvirtintu teritorijos tarp Ozo, Kalvarijų, Šiaurinės ir Geležinio Vilko gatvių detaliojo plano sklypo (kadastro Nr. 0101/0021:502) 1/6 ir 1/8 dalių sprendinių koregavimu (registro </w:t>
      </w:r>
      <w:r>
        <w:rPr>
          <w:lang w:eastAsia="lt-LT"/>
        </w:rPr>
        <w:t xml:space="preserve">Nr. T00080312), sprendinius inicijavimo sutarties pagrindu: vadovaujantis Vilniaus miesto savivaldybės teritorijos bendrojo plano sprendiniais sklypo dalyse 1/4, 1/5 ir 1/6A ir sklypo dalyje tarp skaičių 1-18 nustatyti (patikslinti) užstatymo reglamentus, </w:t>
      </w:r>
      <w:r>
        <w:rPr>
          <w:lang w:eastAsia="lt-LT"/>
        </w:rPr>
        <w:t>patikslinti statybos ribą, statybos zoną, pakeisti planuojamos teritorijos susisiekimo komunikacijų išdėstymo principus, joms funkcionuoti reikalingų servitutų poreikį, nustatyti automobilių stovėjimo vietų išdėstymą, patikslinti gatvių raudonąsias linijas</w:t>
      </w:r>
      <w:r>
        <w:rPr>
          <w:lang w:eastAsia="lt-LT"/>
        </w:rPr>
        <w:t>, nekeičiant pagrindinės žemės sklypo naudojimo paskirties, naudojimo būdo ir leistino pastatų aukščio, išskyrus pastato (unikalus Nr. 4400-0062-0575) galimą statybos zoną apimančioje sklypo dalyje 1/5 pakeisti leistiną pastatų aukštį iki 35 metrų.</w:t>
      </w:r>
    </w:p>
    <w:p w14:paraId="1F9D5CB4" w14:textId="77777777" w:rsidR="00F055B1" w:rsidRDefault="0059719C">
      <w:pPr>
        <w:ind w:firstLine="709"/>
        <w:jc w:val="both"/>
      </w:pPr>
      <w:r>
        <w:rPr>
          <w:lang w:eastAsia="lt-LT"/>
        </w:rPr>
        <w:t>Taip pa</w:t>
      </w:r>
      <w:r>
        <w:rPr>
          <w:lang w:eastAsia="lt-LT"/>
        </w:rPr>
        <w:t xml:space="preserve">t šiuo įsakymu nustatoma, kad </w:t>
      </w:r>
      <w:r>
        <w:t>laikomas netekusiu galios Vilniaus miesto savivaldybės administracijos direktoriaus pavaduotojo 2020 m. spalio 4 d. įsakymas Nr. A30-2474/21 ,,Dėl leidimo koreguoti teritorijos tarp Ozo, Kalvarijų, Šiaurinės ir Geležinio Vilko</w:t>
      </w:r>
      <w:r>
        <w:t xml:space="preserve"> gatvių detaliojo plano, pakoreguoto teritorijos tarp Ozo, Kalvarijų, Šiaurinės ir Geležinio Vilko gatvių detaliojo plano sklypo (kadastro Nr. </w:t>
      </w:r>
      <w:r>
        <w:rPr>
          <w:lang w:eastAsia="lt-LT"/>
        </w:rPr>
        <w:t>0101/0021:502) 1/6 ir 1/8 dalių sprendinių koregavimu, sklypo 1/4, 1/5 ir 1/6A dalių sprendinius inicijavimo suta</w:t>
      </w:r>
      <w:r>
        <w:rPr>
          <w:lang w:eastAsia="lt-LT"/>
        </w:rPr>
        <w:t>rties pagrindu“.</w:t>
      </w:r>
    </w:p>
    <w:p w14:paraId="72FA39C2" w14:textId="77777777" w:rsidR="00F055B1" w:rsidRDefault="0059719C">
      <w:pPr>
        <w:tabs>
          <w:tab w:val="left" w:pos="4678"/>
        </w:tabs>
        <w:jc w:val="both"/>
        <w:rPr>
          <w:b/>
          <w:lang w:eastAsia="lt-LT"/>
        </w:rPr>
      </w:pPr>
      <w:r>
        <w:rPr>
          <w:b/>
          <w:lang w:eastAsia="lt-LT"/>
        </w:rPr>
        <w:t>2. Šiuo metu galiojančios ir teikiamu klausimu siūlomos naujos teisinio reguliavimo nuostatos</w:t>
      </w:r>
    </w:p>
    <w:p w14:paraId="0486B58D" w14:textId="77777777" w:rsidR="00F055B1" w:rsidRDefault="0059719C">
      <w:pPr>
        <w:ind w:firstLine="720"/>
        <w:jc w:val="both"/>
      </w:pPr>
      <w:r>
        <w:rPr>
          <w:lang w:eastAsia="lt-LT"/>
        </w:rPr>
        <w:t>Projektas rengiamas vadovaujantis Lietuvos</w:t>
      </w:r>
      <w:r>
        <w:rPr>
          <w:szCs w:val="20"/>
          <w:lang w:eastAsia="lt-LT"/>
        </w:rPr>
        <w:t xml:space="preserve"> Respublikos teritorijų planavimo įstatymu; Vilniaus miesto bendruoju planu, registro Nr. 1881, </w:t>
      </w:r>
      <w:r>
        <w:rPr>
          <w:szCs w:val="20"/>
          <w:lang w:eastAsia="lt-LT"/>
        </w:rPr>
        <w:t>Teritorijos tarp Ozo, Kalvarijų, Šiaurinės ir Geležinio Vilko gatvių detaliuoju planu, registro Nr. T00054812, Sklypo (kadastro                                  Nr. 0101/0021:502), esančio teritorijoje tarp Ozo, Kalvarijų, Šiaurinės ir Geležinio Vilko gatv</w:t>
      </w:r>
      <w:r>
        <w:rPr>
          <w:szCs w:val="20"/>
          <w:lang w:eastAsia="lt-LT"/>
        </w:rPr>
        <w:t xml:space="preserve">ių sankirtos, detaliojo plano sprendinių koregavimu, </w:t>
      </w:r>
      <w:r>
        <w:t>registro Nr. T000</w:t>
      </w:r>
      <w:r>
        <w:rPr>
          <w:lang w:eastAsia="lt-LT"/>
        </w:rPr>
        <w:t>74925</w:t>
      </w:r>
      <w:r>
        <w:t xml:space="preserve">, Teritorijos tarp Ozo, Kalvarijų, Šiaurinės ir Geležinio Vilko gatvių detaliojo plano sklypo (kadastro Nr. 0101/0012:502) 1/6 ir 1/8 dalių sprendinių koregavimu, </w:t>
      </w:r>
      <w:r>
        <w:rPr>
          <w:szCs w:val="20"/>
          <w:lang w:eastAsia="lt-LT"/>
        </w:rPr>
        <w:t xml:space="preserve">registro Nr. </w:t>
      </w:r>
      <w:r>
        <w:t>T0008</w:t>
      </w:r>
      <w:r>
        <w:t xml:space="preserve">0312.   </w:t>
      </w:r>
    </w:p>
    <w:p w14:paraId="3EEF8F41" w14:textId="77777777" w:rsidR="00F055B1" w:rsidRDefault="0059719C">
      <w:pPr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3. Galimos teigiamos ar neigiamos priimto teisės akto pasekmės, kokių priemonių būtina imtis, siekiant pastarųjų išvengti</w:t>
      </w:r>
    </w:p>
    <w:p w14:paraId="075790D3" w14:textId="77777777" w:rsidR="00F055B1" w:rsidRDefault="0059719C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>Neigiamų pasekmių nenumatoma.</w:t>
      </w:r>
    </w:p>
    <w:p w14:paraId="455BAAD2" w14:textId="77777777" w:rsidR="00F055B1" w:rsidRDefault="0059719C">
      <w:pPr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4. Suderinamumas su Lietuvos Respublikos galiojančiais teisės norminiais aktais</w:t>
      </w:r>
    </w:p>
    <w:p w14:paraId="68B50EA8" w14:textId="77777777" w:rsidR="00F055B1" w:rsidRDefault="0059719C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lastRenderedPageBreak/>
        <w:t>Projektas nepri</w:t>
      </w:r>
      <w:r>
        <w:rPr>
          <w:szCs w:val="20"/>
          <w:lang w:eastAsia="lt-LT"/>
        </w:rPr>
        <w:t>eštarauja galiojantiems teisės aktams.</w:t>
      </w:r>
    </w:p>
    <w:p w14:paraId="0500311B" w14:textId="77777777" w:rsidR="00F055B1" w:rsidRDefault="0059719C">
      <w:pPr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5. Priimtam teisės aktui įgyvendinti reikalingi papildomi (priimti, pakeisti) teisės aktai</w:t>
      </w:r>
    </w:p>
    <w:p w14:paraId="736885C3" w14:textId="77777777" w:rsidR="00F055B1" w:rsidRDefault="0059719C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>Nereikalingi.</w:t>
      </w:r>
    </w:p>
    <w:p w14:paraId="0BE08972" w14:textId="77777777" w:rsidR="00F055B1" w:rsidRDefault="0059719C">
      <w:pPr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6. Biudžeto lėšų poreikis teisės aktui įgyvendinti</w:t>
      </w:r>
    </w:p>
    <w:p w14:paraId="40059AC7" w14:textId="77777777" w:rsidR="00F055B1" w:rsidRDefault="0059719C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Detalųjį planą finansuoja sklypo dalies </w:t>
      </w:r>
      <w:r>
        <w:rPr>
          <w:szCs w:val="20"/>
          <w:lang w:eastAsia="lt-LT"/>
        </w:rPr>
        <w:t xml:space="preserve">naudotojai. </w:t>
      </w:r>
    </w:p>
    <w:p w14:paraId="320F9F42" w14:textId="77777777" w:rsidR="00F055B1" w:rsidRDefault="0059719C">
      <w:pPr>
        <w:jc w:val="both"/>
      </w:pPr>
      <w:r>
        <w:rPr>
          <w:b/>
          <w:szCs w:val="20"/>
          <w:lang w:eastAsia="lt-LT"/>
        </w:rPr>
        <w:t xml:space="preserve">7. </w:t>
      </w:r>
      <w:r>
        <w:rPr>
          <w:b/>
        </w:rPr>
        <w:t>Teisės akto projekto rengimo metu gauti specialistų vertinimai ir išvados</w:t>
      </w:r>
      <w:r>
        <w:rPr>
          <w:b/>
          <w:szCs w:val="20"/>
          <w:lang w:eastAsia="lt-LT"/>
        </w:rPr>
        <w:t xml:space="preserve"> </w:t>
      </w:r>
    </w:p>
    <w:p w14:paraId="1C5D6E16" w14:textId="77777777" w:rsidR="00F055B1" w:rsidRDefault="0059719C">
      <w:pPr>
        <w:ind w:firstLine="709"/>
        <w:jc w:val="both"/>
      </w:pPr>
      <w:r>
        <w:rPr>
          <w:szCs w:val="20"/>
          <w:lang w:eastAsia="lt-LT"/>
        </w:rPr>
        <w:t>Negauta.</w:t>
      </w:r>
    </w:p>
    <w:p w14:paraId="475503EE" w14:textId="77777777" w:rsidR="00F055B1" w:rsidRDefault="0059719C">
      <w:pPr>
        <w:jc w:val="both"/>
      </w:pPr>
      <w:r>
        <w:rPr>
          <w:b/>
        </w:rPr>
        <w:t>8. Teisės akto projekto iniciatoriai: institucija, asmenys ar piliečių įgalioti</w:t>
      </w:r>
      <w:r>
        <w:t xml:space="preserve"> </w:t>
      </w:r>
      <w:r>
        <w:rPr>
          <w:b/>
        </w:rPr>
        <w:t>atstovai</w:t>
      </w:r>
      <w:r>
        <w:rPr>
          <w:b/>
          <w:szCs w:val="20"/>
          <w:lang w:eastAsia="lt-LT"/>
        </w:rPr>
        <w:t xml:space="preserve"> </w:t>
      </w:r>
    </w:p>
    <w:p w14:paraId="2384954F" w14:textId="77777777" w:rsidR="00F055B1" w:rsidRDefault="0059719C">
      <w:pPr>
        <w:ind w:firstLine="709"/>
        <w:jc w:val="both"/>
      </w:pPr>
      <w:r>
        <w:rPr>
          <w:szCs w:val="20"/>
          <w:lang w:eastAsia="lt-LT"/>
        </w:rPr>
        <w:t>UAB ,,</w:t>
      </w:r>
      <w:proofErr w:type="spellStart"/>
      <w:r>
        <w:rPr>
          <w:szCs w:val="20"/>
          <w:lang w:eastAsia="lt-LT"/>
        </w:rPr>
        <w:t>Ozantis</w:t>
      </w:r>
      <w:proofErr w:type="spellEnd"/>
      <w:r>
        <w:rPr>
          <w:szCs w:val="20"/>
          <w:lang w:eastAsia="lt-LT"/>
        </w:rPr>
        <w:t xml:space="preserve">“, UAB ,,Universali arena“. </w:t>
      </w:r>
    </w:p>
    <w:p w14:paraId="3060B4FE" w14:textId="77777777" w:rsidR="00F055B1" w:rsidRDefault="0059719C">
      <w:pPr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 xml:space="preserve">9. Teisės akto projekto </w:t>
      </w:r>
      <w:r>
        <w:rPr>
          <w:b/>
          <w:szCs w:val="20"/>
          <w:lang w:eastAsia="lt-LT"/>
        </w:rPr>
        <w:t xml:space="preserve">autoriai (rengėjai) </w:t>
      </w:r>
    </w:p>
    <w:p w14:paraId="090C3E15" w14:textId="77777777" w:rsidR="00F055B1" w:rsidRDefault="0059719C">
      <w:pPr>
        <w:ind w:left="-284" w:firstLine="1004"/>
        <w:jc w:val="both"/>
        <w:rPr>
          <w:szCs w:val="20"/>
          <w:lang w:eastAsia="lt-LT"/>
        </w:rPr>
      </w:pPr>
      <w:r>
        <w:rPr>
          <w:szCs w:val="20"/>
          <w:lang w:eastAsia="lt-LT"/>
        </w:rPr>
        <w:t>Detaliojo planavimo ir architektūros poskyrio vyriausioji specialistė Valdonė Gavorskienė</w:t>
      </w:r>
    </w:p>
    <w:p w14:paraId="35B65BE2" w14:textId="77777777" w:rsidR="00F055B1" w:rsidRDefault="0059719C">
      <w:pPr>
        <w:jc w:val="both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 xml:space="preserve">9. Priimto teisės akto naudos Vilniaus visuomenei. </w:t>
      </w:r>
    </w:p>
    <w:p w14:paraId="2FEFC60B" w14:textId="77777777" w:rsidR="00F055B1" w:rsidRDefault="0059719C">
      <w:pPr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  <w:t xml:space="preserve">Racionaliai urbanizuojama teritorija, darniai vykdoma teritorijos plėtra. </w:t>
      </w:r>
    </w:p>
    <w:p w14:paraId="1C8D5EC7" w14:textId="77777777" w:rsidR="00F055B1" w:rsidRDefault="00F055B1">
      <w:pPr>
        <w:jc w:val="both"/>
        <w:rPr>
          <w:szCs w:val="20"/>
          <w:lang w:eastAsia="lt-LT"/>
        </w:rPr>
      </w:pPr>
    </w:p>
    <w:p w14:paraId="7679B668" w14:textId="77777777" w:rsidR="00F055B1" w:rsidRDefault="00F055B1">
      <w:pPr>
        <w:jc w:val="both"/>
        <w:rPr>
          <w:szCs w:val="20"/>
          <w:lang w:eastAsia="lt-LT"/>
        </w:rPr>
      </w:pPr>
    </w:p>
    <w:p w14:paraId="3657A3E0" w14:textId="77777777" w:rsidR="00F055B1" w:rsidRDefault="0059719C">
      <w:pPr>
        <w:tabs>
          <w:tab w:val="left" w:pos="7938"/>
        </w:tabs>
        <w:suppressAutoHyphens w:val="0"/>
        <w:jc w:val="both"/>
        <w:textAlignment w:val="auto"/>
      </w:pPr>
      <w:r>
        <w:t>Detaliojo plana</w:t>
      </w:r>
      <w:r>
        <w:t>vimo ir architektūros skyriaus patarėjas                                               Egidijus Dedūra</w:t>
      </w:r>
    </w:p>
    <w:p w14:paraId="5B369806" w14:textId="77777777" w:rsidR="00F055B1" w:rsidRDefault="00F055B1">
      <w:pPr>
        <w:suppressAutoHyphens w:val="0"/>
        <w:jc w:val="both"/>
        <w:textAlignment w:val="auto"/>
        <w:rPr>
          <w:lang w:val="en-US" w:eastAsia="lt-LT"/>
        </w:rPr>
      </w:pPr>
    </w:p>
    <w:p w14:paraId="5872FB3D" w14:textId="77777777" w:rsidR="00F055B1" w:rsidRDefault="00F055B1">
      <w:pPr>
        <w:jc w:val="both"/>
        <w:rPr>
          <w:szCs w:val="20"/>
          <w:lang w:eastAsia="lt-LT"/>
        </w:rPr>
      </w:pPr>
    </w:p>
    <w:p w14:paraId="4E1D43ED" w14:textId="77777777" w:rsidR="00F055B1" w:rsidRDefault="0059719C">
      <w:hyperlink r:id="rId6" w:history="1"/>
    </w:p>
    <w:sectPr w:rsidR="00F055B1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71C9" w14:textId="77777777" w:rsidR="0059719C" w:rsidRDefault="0059719C">
      <w:r>
        <w:separator/>
      </w:r>
    </w:p>
  </w:endnote>
  <w:endnote w:type="continuationSeparator" w:id="0">
    <w:p w14:paraId="63AF67C8" w14:textId="77777777" w:rsidR="0059719C" w:rsidRDefault="0059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9BF3" w14:textId="77777777" w:rsidR="0059719C" w:rsidRDefault="0059719C">
      <w:r>
        <w:rPr>
          <w:color w:val="000000"/>
        </w:rPr>
        <w:separator/>
      </w:r>
    </w:p>
  </w:footnote>
  <w:footnote w:type="continuationSeparator" w:id="0">
    <w:p w14:paraId="2371479C" w14:textId="77777777" w:rsidR="0059719C" w:rsidRDefault="00597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55B1"/>
    <w:rsid w:val="003D5869"/>
    <w:rsid w:val="0059719C"/>
    <w:rsid w:val="00F0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045C"/>
  <w15:docId w15:val="{D49CF057-EE62-4C0B-88EF-4FF446CC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pPr>
      <w:jc w:val="center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lnius.lt/lt/savivaldybe/struktura-ir-kontaktai/?stid=1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3023</Words>
  <Characters>1724</Characters>
  <Application>Microsoft Office Word</Application>
  <DocSecurity>0</DocSecurity>
  <Lines>14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Gavorskienė</dc:creator>
  <dc:description/>
  <cp:lastModifiedBy>Valdonė Gavorskienė</cp:lastModifiedBy>
  <cp:revision>2</cp:revision>
  <dcterms:created xsi:type="dcterms:W3CDTF">2021-05-06T07:29:00Z</dcterms:created>
  <dcterms:modified xsi:type="dcterms:W3CDTF">2021-05-06T07:29:00Z</dcterms:modified>
</cp:coreProperties>
</file>